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overflowPunct w:val="0"/>
        <w:adjustRightInd w:val="0"/>
        <w:snapToGrid w:val="0"/>
        <w:spacing w:line="600" w:lineRule="exact"/>
        <w:jc w:val="both"/>
        <w:rPr>
          <w:rFonts w:ascii="黑体" w:hAnsi="黑体" w:eastAsia="黑体" w:cs="仿宋_GB2312"/>
          <w:color w:val="000000" w:themeColor="text1"/>
          <w:sz w:val="32"/>
          <w:szCs w:val="32"/>
          <w14:textFill>
            <w14:solidFill>
              <w14:schemeClr w14:val="tx1"/>
            </w14:solidFill>
          </w14:textFill>
        </w:rPr>
      </w:pPr>
      <w:r>
        <w:rPr>
          <w:rFonts w:hint="eastAsia" w:ascii="黑体" w:hAnsi="黑体" w:eastAsia="黑体" w:cs="方正黑体_GBK"/>
          <w:color w:val="000000" w:themeColor="text1"/>
          <w:sz w:val="32"/>
          <w:szCs w:val="32"/>
          <w14:textFill>
            <w14:solidFill>
              <w14:schemeClr w14:val="tx1"/>
            </w14:solidFill>
          </w14:textFill>
        </w:rPr>
        <w:t>附件2</w:t>
      </w:r>
    </w:p>
    <w:p>
      <w:pPr>
        <w:pStyle w:val="4"/>
        <w:widowControl w:val="0"/>
        <w:shd w:val="clear" w:color="auto" w:fill="FFFFFF"/>
        <w:overflowPunct w:val="0"/>
        <w:adjustRightInd w:val="0"/>
        <w:snapToGrid w:val="0"/>
        <w:spacing w:before="0" w:beforeAutospacing="0" w:after="0" w:afterAutospacing="0" w:line="300" w:lineRule="exact"/>
        <w:ind w:firstLine="880" w:firstLineChars="200"/>
        <w:jc w:val="both"/>
        <w:rPr>
          <w:rFonts w:ascii="方正小标宋_GBK" w:hAnsi="仿宋" w:eastAsia="方正小标宋_GBK"/>
          <w:color w:val="000000" w:themeColor="text1"/>
          <w:sz w:val="44"/>
          <w:szCs w:val="44"/>
          <w:shd w:val="clear" w:color="auto" w:fill="FFFFFF"/>
          <w14:textFill>
            <w14:solidFill>
              <w14:schemeClr w14:val="tx1"/>
            </w14:solidFill>
          </w14:textFill>
        </w:rPr>
      </w:pPr>
    </w:p>
    <w:p>
      <w:pPr>
        <w:pStyle w:val="4"/>
        <w:widowControl w:val="0"/>
        <w:shd w:val="clear" w:color="auto" w:fill="FFFFFF"/>
        <w:overflowPunct w:val="0"/>
        <w:adjustRightInd w:val="0"/>
        <w:snapToGrid w:val="0"/>
        <w:spacing w:before="0" w:beforeAutospacing="0" w:after="0" w:afterAutospacing="0" w:line="600" w:lineRule="exact"/>
        <w:jc w:val="center"/>
        <w:rPr>
          <w:rFonts w:ascii="方正小标宋_GBK" w:hAnsi="仿宋" w:eastAsia="方正小标宋_GBK"/>
          <w:color w:val="000000" w:themeColor="text1"/>
          <w:sz w:val="44"/>
          <w:szCs w:val="44"/>
          <w:shd w:val="clear" w:color="auto" w:fill="FFFFFF"/>
          <w14:textFill>
            <w14:solidFill>
              <w14:schemeClr w14:val="tx1"/>
            </w14:solidFill>
          </w14:textFill>
        </w:rPr>
      </w:pPr>
      <w:bookmarkStart w:id="0" w:name="_GoBack"/>
      <w:r>
        <w:rPr>
          <w:rFonts w:hint="eastAsia" w:ascii="方正小标宋_GBK" w:hAnsi="仿宋" w:eastAsia="方正小标宋_GBK"/>
          <w:color w:val="000000" w:themeColor="text1"/>
          <w:sz w:val="44"/>
          <w:szCs w:val="44"/>
          <w:shd w:val="clear" w:color="auto" w:fill="FFFFFF"/>
          <w14:textFill>
            <w14:solidFill>
              <w14:schemeClr w14:val="tx1"/>
            </w14:solidFill>
          </w14:textFill>
        </w:rPr>
        <w:t>洛阳市市场监督管理局</w:t>
      </w:r>
    </w:p>
    <w:p>
      <w:pPr>
        <w:pStyle w:val="4"/>
        <w:widowControl w:val="0"/>
        <w:shd w:val="clear" w:color="auto" w:fill="FFFFFF"/>
        <w:overflowPunct w:val="0"/>
        <w:adjustRightInd w:val="0"/>
        <w:snapToGrid w:val="0"/>
        <w:spacing w:before="0" w:beforeAutospacing="0" w:after="0" w:afterAutospacing="0" w:line="600" w:lineRule="exact"/>
        <w:jc w:val="center"/>
        <w:rPr>
          <w:rFonts w:ascii="方正小标宋_GBK" w:hAnsi="仿宋" w:eastAsia="方正小标宋_GBK"/>
          <w:color w:val="000000" w:themeColor="text1"/>
          <w:sz w:val="44"/>
          <w:szCs w:val="44"/>
          <w:shd w:val="clear" w:color="auto" w:fill="FFFFFF"/>
          <w14:textFill>
            <w14:solidFill>
              <w14:schemeClr w14:val="tx1"/>
            </w14:solidFill>
          </w14:textFill>
        </w:rPr>
      </w:pPr>
      <w:r>
        <w:rPr>
          <w:rFonts w:hint="eastAsia" w:ascii="方正小标宋_GBK" w:hAnsi="仿宋" w:eastAsia="方正小标宋_GBK"/>
          <w:color w:val="000000" w:themeColor="text1"/>
          <w:sz w:val="44"/>
          <w:szCs w:val="44"/>
          <w:shd w:val="clear" w:color="auto" w:fill="FFFFFF"/>
          <w14:textFill>
            <w14:solidFill>
              <w14:schemeClr w14:val="tx1"/>
            </w14:solidFill>
          </w14:textFill>
        </w:rPr>
        <w:t>现行有效的规范性文件目录</w:t>
      </w:r>
    </w:p>
    <w:bookmarkEnd w:id="0"/>
    <w:p>
      <w:pPr>
        <w:widowControl w:val="0"/>
        <w:overflowPunct w:val="0"/>
        <w:adjustRightInd w:val="0"/>
        <w:snapToGrid w:val="0"/>
        <w:spacing w:line="3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tbl>
      <w:tblPr>
        <w:tblStyle w:val="5"/>
        <w:tblW w:w="5000" w:type="pct"/>
        <w:tblInd w:w="0" w:type="dxa"/>
        <w:tblLayout w:type="autofit"/>
        <w:tblCellMar>
          <w:top w:w="0" w:type="dxa"/>
          <w:left w:w="108" w:type="dxa"/>
          <w:bottom w:w="0" w:type="dxa"/>
          <w:right w:w="108" w:type="dxa"/>
        </w:tblCellMar>
      </w:tblPr>
      <w:tblGrid>
        <w:gridCol w:w="591"/>
        <w:gridCol w:w="3025"/>
        <w:gridCol w:w="2730"/>
        <w:gridCol w:w="2176"/>
      </w:tblGrid>
      <w:tr>
        <w:tblPrEx>
          <w:tblCellMar>
            <w:top w:w="0" w:type="dxa"/>
            <w:left w:w="108" w:type="dxa"/>
            <w:bottom w:w="0" w:type="dxa"/>
            <w:right w:w="108" w:type="dxa"/>
          </w:tblCellMar>
        </w:tblPrEx>
        <w:trPr>
          <w:trHeight w:val="640" w:hRule="atLeast"/>
          <w:tblHeader/>
        </w:trPr>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序号</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文件名称</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制定科室</w:t>
            </w:r>
          </w:p>
        </w:tc>
      </w:tr>
      <w:tr>
        <w:tblPrEx>
          <w:tblCellMar>
            <w:top w:w="0" w:type="dxa"/>
            <w:left w:w="108" w:type="dxa"/>
            <w:bottom w:w="0" w:type="dxa"/>
            <w:right w:w="108" w:type="dxa"/>
          </w:tblCellMar>
        </w:tblPrEx>
        <w:trPr>
          <w:trHeight w:val="945"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1</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关于促进个体工商户转型为小微企业工作的实施意见</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洛工商〔2018〕39号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行政审批科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2</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关于落实《市场监管总局工业和信息化部公安部关于加强电动自行车国家标准实施监督的意见》的通知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洛市监〔2019〕108号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洛市监规-2019-001号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标准化科</w:t>
            </w:r>
          </w:p>
        </w:tc>
      </w:tr>
      <w:tr>
        <w:tblPrEx>
          <w:tblCellMar>
            <w:top w:w="0" w:type="dxa"/>
            <w:left w:w="108" w:type="dxa"/>
            <w:bottom w:w="0" w:type="dxa"/>
            <w:right w:w="108" w:type="dxa"/>
          </w:tblCellMar>
        </w:tblPrEx>
        <w:trPr>
          <w:trHeight w:val="126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3</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关于印发《关于进一步加强合同监管工作的指导意见》的通知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洛市监〔2020〕90号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洛市监规-2020-003号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市场规范管理科</w:t>
            </w:r>
          </w:p>
        </w:tc>
      </w:tr>
      <w:tr>
        <w:tblPrEx>
          <w:tblCellMar>
            <w:top w:w="0" w:type="dxa"/>
            <w:left w:w="108" w:type="dxa"/>
            <w:bottom w:w="0" w:type="dxa"/>
            <w:right w:w="108" w:type="dxa"/>
          </w:tblCellMar>
        </w:tblPrEx>
        <w:trPr>
          <w:trHeight w:val="945"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4</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关于印发《</w:t>
            </w:r>
            <w:r>
              <w:rPr>
                <w:rFonts w:hint="eastAsia" w:ascii="仿宋" w:hAnsi="仿宋" w:eastAsia="仿宋" w:cs="方正仿宋_GBK"/>
                <w:bCs/>
                <w:color w:val="000000" w:themeColor="text1"/>
                <w:sz w:val="28"/>
                <w:szCs w:val="28"/>
                <w14:textFill>
                  <w14:solidFill>
                    <w14:schemeClr w14:val="tx1"/>
                  </w14:solidFill>
                </w14:textFill>
              </w:rPr>
              <w:t>洛阳市知识产权专项资金管理办法</w:t>
            </w:r>
            <w:r>
              <w:rPr>
                <w:rFonts w:hint="eastAsia" w:ascii="仿宋" w:hAnsi="仿宋" w:eastAsia="仿宋" w:cs="方正仿宋_GBK"/>
                <w:color w:val="000000" w:themeColor="text1"/>
                <w:sz w:val="28"/>
                <w:szCs w:val="28"/>
                <w14:textFill>
                  <w14:solidFill>
                    <w14:schemeClr w14:val="tx1"/>
                  </w14:solidFill>
                </w14:textFill>
              </w:rPr>
              <w:t>》的通知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洛市监〔2020〕115号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洛市监规-2020-007号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5</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关于印发《</w:t>
            </w:r>
            <w:r>
              <w:rPr>
                <w:rFonts w:hint="eastAsia" w:ascii="仿宋" w:hAnsi="仿宋" w:eastAsia="仿宋" w:cs="方正仿宋_GBK"/>
                <w:bCs/>
                <w:color w:val="000000" w:themeColor="text1"/>
                <w:sz w:val="28"/>
                <w:szCs w:val="28"/>
                <w:shd w:val="clear" w:color="auto" w:fill="FFFFFF"/>
                <w14:textFill>
                  <w14:solidFill>
                    <w14:schemeClr w14:val="tx1"/>
                  </w14:solidFill>
                </w14:textFill>
              </w:rPr>
              <w:t>洛阳市知识产权质押融资奖补和风险补偿实施办法</w:t>
            </w:r>
            <w:r>
              <w:rPr>
                <w:rFonts w:hint="eastAsia" w:ascii="仿宋" w:hAnsi="仿宋" w:eastAsia="仿宋" w:cs="方正仿宋_GBK"/>
                <w:color w:val="000000" w:themeColor="text1"/>
                <w:sz w:val="28"/>
                <w:szCs w:val="28"/>
                <w14:textFill>
                  <w14:solidFill>
                    <w14:schemeClr w14:val="tx1"/>
                  </w14:solidFill>
                </w14:textFill>
              </w:rPr>
              <w:t>》的通知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洛市监〔2020〕116号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洛市监规-2020-008号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6</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关于废止和宣布失效部分行政规范性文件的决定</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洛市监〔2021〕38号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洛市监规-2021-002号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法规科</w:t>
            </w:r>
          </w:p>
        </w:tc>
      </w:tr>
      <w:tr>
        <w:tblPrEx>
          <w:tblCellMar>
            <w:top w:w="0" w:type="dxa"/>
            <w:left w:w="108" w:type="dxa"/>
            <w:bottom w:w="0" w:type="dxa"/>
            <w:right w:w="108" w:type="dxa"/>
          </w:tblCellMar>
        </w:tblPrEx>
        <w:trPr>
          <w:trHeight w:val="826"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7</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洛阳市市场监督管理局关于印发《洛阳市知识产权强企备案实施办法》的通知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洛市监〔2021〕46号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洛市监规-2021-003号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bl>
    <w:p>
      <w:pPr>
        <w:rPr>
          <w:color w:val="000000" w:themeColor="text1"/>
          <w14:textFill>
            <w14:solidFill>
              <w14:schemeClr w14:val="tx1"/>
            </w14:solidFill>
          </w14:textFill>
        </w:rPr>
      </w:pPr>
    </w:p>
    <w:tbl>
      <w:tblPr>
        <w:tblStyle w:val="5"/>
        <w:tblW w:w="5000" w:type="pct"/>
        <w:tblInd w:w="0" w:type="dxa"/>
        <w:tblLayout w:type="autofit"/>
        <w:tblCellMar>
          <w:top w:w="0" w:type="dxa"/>
          <w:left w:w="108" w:type="dxa"/>
          <w:bottom w:w="0" w:type="dxa"/>
          <w:right w:w="108" w:type="dxa"/>
        </w:tblCellMar>
      </w:tblPr>
      <w:tblGrid>
        <w:gridCol w:w="591"/>
        <w:gridCol w:w="3025"/>
        <w:gridCol w:w="2730"/>
        <w:gridCol w:w="2176"/>
      </w:tblGrid>
      <w:tr>
        <w:tblPrEx>
          <w:tblCellMar>
            <w:top w:w="0" w:type="dxa"/>
            <w:left w:w="108" w:type="dxa"/>
            <w:bottom w:w="0" w:type="dxa"/>
            <w:right w:w="108" w:type="dxa"/>
          </w:tblCellMar>
        </w:tblPrEx>
        <w:trPr>
          <w:trHeight w:val="640" w:hRule="atLeast"/>
          <w:tblHeader/>
        </w:trPr>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序号</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文件名称</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制定科室</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8</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关于废止行政规范性文件的决定</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洛市监〔2021〕58号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洛市监规-2021-004号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法规科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9</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洛阳市中小学知识产权普及教育实验基地建设暂行办法</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洛市监〔2022〕12号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洛市监规-2022-001号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10</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洛阳市市场监督管理局等十一部门关于做好企业电子营业执照和电子印章同步发放和应用工作的通知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洛市监〔2022〕82号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洛市监规-2022-003号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行政审批科</w:t>
            </w:r>
          </w:p>
        </w:tc>
      </w:tr>
      <w:tr>
        <w:tblPrEx>
          <w:tblCellMar>
            <w:top w:w="0" w:type="dxa"/>
            <w:left w:w="108" w:type="dxa"/>
            <w:bottom w:w="0" w:type="dxa"/>
            <w:right w:w="108" w:type="dxa"/>
          </w:tblCellMar>
        </w:tblPrEx>
        <w:trPr>
          <w:trHeight w:val="866"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11</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bCs/>
                <w:color w:val="000000" w:themeColor="text1"/>
                <w:sz w:val="28"/>
                <w:szCs w:val="28"/>
                <w14:textFill>
                  <w14:solidFill>
                    <w14:schemeClr w14:val="tx1"/>
                  </w14:solidFill>
                </w14:textFill>
              </w:rPr>
              <w:t>关于</w:t>
            </w:r>
            <w:r>
              <w:rPr>
                <w:rStyle w:val="8"/>
                <w:rFonts w:hint="eastAsia" w:ascii="仿宋" w:hAnsi="仿宋" w:eastAsia="仿宋" w:cs="方正仿宋_GBK"/>
                <w:b w:val="0"/>
                <w:bCs w:val="0"/>
                <w:color w:val="000000" w:themeColor="text1"/>
                <w:sz w:val="28"/>
                <w:szCs w:val="28"/>
                <w:shd w:val="clear" w:color="auto" w:fill="FFFFFF"/>
                <w14:textFill>
                  <w14:solidFill>
                    <w14:schemeClr w14:val="tx1"/>
                  </w14:solidFill>
                </w14:textFill>
              </w:rPr>
              <w:t>废止行政规范性文件的决定</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洛市监〔2022〕88号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洛市监规-2022-002号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法规科</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NEU-BZ">
    <w:altName w:val="宋体"/>
    <w:panose1 w:val="00000000000000000000"/>
    <w:charset w:val="86"/>
    <w:family w:val="auto"/>
    <w:pitch w:val="default"/>
    <w:sig w:usb0="00000000" w:usb1="00000000"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1CB1575C"/>
    <w:rsid w:val="0AEC727C"/>
    <w:rsid w:val="1CB1575C"/>
    <w:rsid w:val="76900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link w:val="9"/>
    <w:qFormat/>
    <w:uiPriority w:val="0"/>
    <w:pPr>
      <w:keepNext/>
      <w:spacing w:before="120" w:after="120" w:line="240" w:lineRule="auto"/>
      <w:ind w:firstLine="560" w:firstLineChars="200"/>
      <w:jc w:val="left"/>
      <w:outlineLvl w:val="0"/>
    </w:pPr>
    <w:rPr>
      <w:rFonts w:ascii="黑体" w:hAnsi="黑体" w:eastAsia="仿宋" w:cs="Times New Roman"/>
      <w:bCs/>
      <w:kern w:val="32"/>
      <w:sz w:val="32"/>
      <w:szCs w:val="32"/>
      <w:lang w:eastAsia="en-US" w:bidi="en-US"/>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宋体" w:cs="宋体"/>
      <w:sz w:val="21"/>
      <w:szCs w:val="21"/>
    </w:rPr>
  </w:style>
  <w:style w:type="paragraph" w:styleId="4">
    <w:name w:val="Normal (Web)"/>
    <w:basedOn w:val="1"/>
    <w:unhideWhenUsed/>
    <w:qFormat/>
    <w:uiPriority w:val="0"/>
    <w:pPr>
      <w:spacing w:before="100" w:beforeAutospacing="1" w:after="100" w:afterAutospacing="1"/>
    </w:pPr>
    <w:rPr>
      <w:rFonts w:ascii="宋体" w:hAnsi="宋体" w:cs="宋体"/>
      <w:sz w:val="24"/>
      <w:szCs w:val="24"/>
    </w:rPr>
  </w:style>
  <w:style w:type="table" w:styleId="6">
    <w:name w:val="Table Grid"/>
    <w:basedOn w:val="5"/>
    <w:qFormat/>
    <w:uiPriority w:val="59"/>
    <w:rPr>
      <w:rFonts w:ascii="Times New Roman" w:hAnsi="Times New Roman" w:eastAsia="宋体"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Strong"/>
    <w:basedOn w:val="7"/>
    <w:qFormat/>
    <w:uiPriority w:val="22"/>
    <w:rPr>
      <w:b/>
      <w:bCs/>
    </w:rPr>
  </w:style>
  <w:style w:type="character" w:customStyle="1" w:styleId="9">
    <w:name w:val="标题 1 字符"/>
    <w:link w:val="3"/>
    <w:qFormat/>
    <w:uiPriority w:val="0"/>
    <w:rPr>
      <w:rFonts w:ascii="黑体" w:hAnsi="黑体" w:eastAsia="仿宋" w:cs="Times New Roman"/>
      <w:bCs/>
      <w:color w:val="000000"/>
      <w:kern w:val="0"/>
      <w:sz w:val="32"/>
      <w:szCs w:val="20"/>
      <w:lang w:val="zh-CN"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2024-06-04T05:29:00Z</dcterms:created>
  <dc:creator>时霖</dc:creator>
  <cp:lastModifiedBy>时霖</cp:lastModifiedBy>
  <dcterms:modified xsi:type="dcterms:W3CDTF">2024-06-04T05:30:48Z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6A904408AD0242BB9375654130862BFE_13</vt:lpwstr>
  </property>
</Properties>
</file>