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overflowPunct w:val="0"/>
        <w:adjustRightInd w:val="0"/>
        <w:snapToGrid w:val="0"/>
        <w:spacing w:line="600" w:lineRule="exact"/>
        <w:jc w:val="both"/>
        <w:rPr>
          <w:rFonts w:ascii="黑体" w:hAnsi="黑体" w:eastAsia="黑体" w:cs="仿宋_GB2312"/>
          <w:color w:val="000000" w:themeColor="text1"/>
          <w:sz w:val="32"/>
          <w:szCs w:val="32"/>
          <w14:textFill>
            <w14:solidFill>
              <w14:schemeClr w14:val="tx1"/>
            </w14:solidFill>
          </w14:textFill>
        </w:rPr>
      </w:pPr>
      <w:r>
        <w:rPr>
          <w:rFonts w:hint="eastAsia" w:ascii="黑体" w:hAnsi="黑体" w:eastAsia="黑体" w:cs="方正黑体_GBK"/>
          <w:color w:val="000000" w:themeColor="text1"/>
          <w:sz w:val="32"/>
          <w:szCs w:val="32"/>
          <w14:textFill>
            <w14:solidFill>
              <w14:schemeClr w14:val="tx1"/>
            </w14:solidFill>
          </w14:textFill>
        </w:rPr>
        <w:t>附件2</w:t>
      </w:r>
    </w:p>
    <w:p>
      <w:pPr>
        <w:widowControl w:val="0"/>
        <w:overflowPunct w:val="0"/>
        <w:adjustRightInd w:val="0"/>
        <w:snapToGrid w:val="0"/>
        <w:spacing w:line="300" w:lineRule="exact"/>
        <w:ind w:firstLine="640" w:firstLineChars="200"/>
        <w:jc w:val="both"/>
        <w:rPr>
          <w:rFonts w:ascii="仿宋" w:hAnsi="仿宋" w:eastAsia="仿宋" w:cs="方正小标宋简体"/>
          <w:color w:val="000000" w:themeColor="text1"/>
          <w:sz w:val="32"/>
          <w:szCs w:val="32"/>
          <w:shd w:val="clear" w:color="auto" w:fill="FFFFFF"/>
          <w14:textFill>
            <w14:solidFill>
              <w14:schemeClr w14:val="tx1"/>
            </w14:solidFill>
          </w14:textFill>
        </w:rPr>
      </w:pPr>
    </w:p>
    <w:p>
      <w:pPr>
        <w:pStyle w:val="4"/>
        <w:widowControl w:val="0"/>
        <w:shd w:val="clear" w:color="auto" w:fill="FFFFFF"/>
        <w:overflowPunct w:val="0"/>
        <w:adjustRightInd w:val="0"/>
        <w:snapToGrid w:val="0"/>
        <w:spacing w:before="0" w:beforeAutospacing="0" w:after="0" w:afterAutospacing="0" w:line="600" w:lineRule="exact"/>
        <w:jc w:val="center"/>
        <w:rPr>
          <w:rFonts w:ascii="方正小标宋_GBK" w:hAnsi="仿宋" w:eastAsia="方正小标宋_GBK"/>
          <w:color w:val="000000" w:themeColor="text1"/>
          <w:sz w:val="44"/>
          <w:szCs w:val="44"/>
          <w:shd w:val="clear" w:color="auto" w:fill="FFFFFF"/>
          <w14:textFill>
            <w14:solidFill>
              <w14:schemeClr w14:val="tx1"/>
            </w14:solidFill>
          </w14:textFill>
        </w:rPr>
      </w:pPr>
      <w:bookmarkStart w:id="0" w:name="_GoBack"/>
      <w:r>
        <w:rPr>
          <w:rFonts w:hint="eastAsia" w:ascii="方正小标宋_GBK" w:hAnsi="仿宋" w:eastAsia="方正小标宋_GBK"/>
          <w:color w:val="000000" w:themeColor="text1"/>
          <w:sz w:val="44"/>
          <w:szCs w:val="44"/>
          <w:shd w:val="clear" w:color="auto" w:fill="FFFFFF"/>
          <w14:textFill>
            <w14:solidFill>
              <w14:schemeClr w14:val="tx1"/>
            </w14:solidFill>
          </w14:textFill>
        </w:rPr>
        <w:t>洛阳市市场监督管理局</w:t>
      </w:r>
    </w:p>
    <w:p>
      <w:pPr>
        <w:pStyle w:val="4"/>
        <w:widowControl w:val="0"/>
        <w:shd w:val="clear" w:color="auto" w:fill="FFFFFF"/>
        <w:overflowPunct w:val="0"/>
        <w:adjustRightInd w:val="0"/>
        <w:snapToGrid w:val="0"/>
        <w:spacing w:before="0" w:beforeAutospacing="0" w:after="0" w:afterAutospacing="0" w:line="600" w:lineRule="exact"/>
        <w:jc w:val="center"/>
        <w:rPr>
          <w:rFonts w:ascii="方正小标宋_GBK" w:hAnsi="仿宋" w:eastAsia="方正小标宋_GBK"/>
          <w:color w:val="000000" w:themeColor="text1"/>
          <w:sz w:val="44"/>
          <w:szCs w:val="44"/>
          <w:shd w:val="clear" w:color="auto" w:fill="FFFFFF"/>
          <w14:textFill>
            <w14:solidFill>
              <w14:schemeClr w14:val="tx1"/>
            </w14:solidFill>
          </w14:textFill>
        </w:rPr>
      </w:pPr>
      <w:r>
        <w:rPr>
          <w:rFonts w:hint="eastAsia" w:ascii="方正小标宋_GBK" w:hAnsi="仿宋" w:eastAsia="方正小标宋_GBK"/>
          <w:color w:val="000000" w:themeColor="text1"/>
          <w:sz w:val="44"/>
          <w:szCs w:val="44"/>
          <w:shd w:val="clear" w:color="auto" w:fill="FFFFFF"/>
          <w14:textFill>
            <w14:solidFill>
              <w14:schemeClr w14:val="tx1"/>
            </w14:solidFill>
          </w14:textFill>
        </w:rPr>
        <w:t>现行有效的规范性文件目录</w:t>
      </w:r>
      <w:bookmarkEnd w:id="0"/>
    </w:p>
    <w:p>
      <w:pPr>
        <w:widowControl w:val="0"/>
        <w:overflowPunct w:val="0"/>
        <w:adjustRightInd w:val="0"/>
        <w:snapToGrid w:val="0"/>
        <w:spacing w:line="300" w:lineRule="exact"/>
        <w:ind w:firstLine="640" w:firstLineChars="200"/>
        <w:jc w:val="both"/>
        <w:rPr>
          <w:rFonts w:ascii="仿宋" w:hAnsi="仿宋" w:eastAsia="仿宋" w:cs="仿宋_GB2312"/>
          <w:color w:val="000000" w:themeColor="text1"/>
          <w:sz w:val="32"/>
          <w:szCs w:val="32"/>
          <w14:textFill>
            <w14:solidFill>
              <w14:schemeClr w14:val="tx1"/>
            </w14:solidFill>
          </w14:textFill>
        </w:rPr>
      </w:pPr>
    </w:p>
    <w:tbl>
      <w:tblPr>
        <w:tblStyle w:val="5"/>
        <w:tblW w:w="5000" w:type="pct"/>
        <w:tblInd w:w="0" w:type="dxa"/>
        <w:tblLayout w:type="autofit"/>
        <w:tblCellMar>
          <w:top w:w="0" w:type="dxa"/>
          <w:left w:w="108" w:type="dxa"/>
          <w:bottom w:w="0" w:type="dxa"/>
          <w:right w:w="108" w:type="dxa"/>
        </w:tblCellMar>
      </w:tblPr>
      <w:tblGrid>
        <w:gridCol w:w="627"/>
        <w:gridCol w:w="2793"/>
        <w:gridCol w:w="2926"/>
        <w:gridCol w:w="2176"/>
      </w:tblGrid>
      <w:tr>
        <w:tblPrEx>
          <w:tblCellMar>
            <w:top w:w="0" w:type="dxa"/>
            <w:left w:w="108" w:type="dxa"/>
            <w:bottom w:w="0" w:type="dxa"/>
            <w:right w:w="108" w:type="dxa"/>
          </w:tblCellMar>
        </w:tblPrEx>
        <w:trPr>
          <w:trHeight w:val="640" w:hRule="atLeast"/>
          <w:tblHeader/>
        </w:trPr>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黑体" w:hAnsi="仿宋" w:eastAsia="黑体" w:cs="方正黑体_GBK"/>
                <w:bCs/>
                <w:color w:val="000000" w:themeColor="text1"/>
                <w:sz w:val="28"/>
                <w:szCs w:val="28"/>
                <w14:textFill>
                  <w14:solidFill>
                    <w14:schemeClr w14:val="tx1"/>
                  </w14:solidFill>
                </w14:textFill>
              </w:rPr>
            </w:pPr>
            <w:r>
              <w:rPr>
                <w:rFonts w:hint="eastAsia" w:ascii="黑体" w:hAnsi="仿宋" w:eastAsia="黑体" w:cs="方正黑体_GBK"/>
                <w:bCs/>
                <w:color w:val="000000" w:themeColor="text1"/>
                <w:sz w:val="28"/>
                <w:szCs w:val="28"/>
                <w:lang w:bidi="ar"/>
                <w14:textFill>
                  <w14:solidFill>
                    <w14:schemeClr w14:val="tx1"/>
                  </w14:solidFill>
                </w14:textFill>
              </w:rPr>
              <w:t>序号</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黑体" w:hAnsi="仿宋" w:eastAsia="黑体" w:cs="方正黑体_GBK"/>
                <w:bCs/>
                <w:color w:val="000000" w:themeColor="text1"/>
                <w:sz w:val="28"/>
                <w:szCs w:val="28"/>
                <w14:textFill>
                  <w14:solidFill>
                    <w14:schemeClr w14:val="tx1"/>
                  </w14:solidFill>
                </w14:textFill>
              </w:rPr>
            </w:pPr>
            <w:r>
              <w:rPr>
                <w:rFonts w:hint="eastAsia" w:ascii="黑体" w:hAnsi="仿宋" w:eastAsia="黑体" w:cs="方正黑体_GBK"/>
                <w:bCs/>
                <w:color w:val="000000" w:themeColor="text1"/>
                <w:sz w:val="28"/>
                <w:szCs w:val="28"/>
                <w:lang w:bidi="ar"/>
                <w14:textFill>
                  <w14:solidFill>
                    <w14:schemeClr w14:val="tx1"/>
                  </w14:solidFill>
                </w14:textFill>
              </w:rPr>
              <w:t>文件名称</w:t>
            </w:r>
          </w:p>
        </w:tc>
        <w:tc>
          <w:tcPr>
            <w:tcW w:w="17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黑体" w:hAnsi="仿宋" w:eastAsia="黑体" w:cs="方正黑体_GBK"/>
                <w:bCs/>
                <w:color w:val="000000" w:themeColor="text1"/>
                <w:sz w:val="28"/>
                <w:szCs w:val="28"/>
                <w14:textFill>
                  <w14:solidFill>
                    <w14:schemeClr w14:val="tx1"/>
                  </w14:solidFill>
                </w14:textFill>
              </w:rPr>
            </w:pPr>
            <w:r>
              <w:rPr>
                <w:rFonts w:hint="eastAsia" w:ascii="黑体" w:hAnsi="仿宋" w:eastAsia="黑体" w:cs="方正黑体_GBK"/>
                <w:bCs/>
                <w:color w:val="000000" w:themeColor="text1"/>
                <w:sz w:val="28"/>
                <w:szCs w:val="28"/>
                <w:lang w:bidi="ar"/>
                <w14:textFill>
                  <w14:solidFill>
                    <w14:schemeClr w14:val="tx1"/>
                  </w14:solidFill>
                </w14:textFill>
              </w:rPr>
              <w:t>文号</w:t>
            </w:r>
          </w:p>
        </w:tc>
        <w:tc>
          <w:tcPr>
            <w:tcW w:w="12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黑体" w:hAnsi="仿宋" w:eastAsia="黑体" w:cs="方正黑体_GBK"/>
                <w:bCs/>
                <w:color w:val="000000" w:themeColor="text1"/>
                <w:sz w:val="28"/>
                <w:szCs w:val="28"/>
                <w14:textFill>
                  <w14:solidFill>
                    <w14:schemeClr w14:val="tx1"/>
                  </w14:solidFill>
                </w14:textFill>
              </w:rPr>
            </w:pPr>
            <w:r>
              <w:rPr>
                <w:rFonts w:hint="eastAsia" w:ascii="黑体" w:hAnsi="仿宋" w:eastAsia="黑体" w:cs="方正黑体_GBK"/>
                <w:bCs/>
                <w:color w:val="000000" w:themeColor="text1"/>
                <w:sz w:val="28"/>
                <w:szCs w:val="28"/>
                <w:lang w:bidi="ar"/>
                <w14:textFill>
                  <w14:solidFill>
                    <w14:schemeClr w14:val="tx1"/>
                  </w14:solidFill>
                </w14:textFill>
              </w:rPr>
              <w:t>制定科室</w:t>
            </w:r>
          </w:p>
        </w:tc>
      </w:tr>
      <w:tr>
        <w:tblPrEx>
          <w:tblCellMar>
            <w:top w:w="0" w:type="dxa"/>
            <w:left w:w="108" w:type="dxa"/>
            <w:bottom w:w="0" w:type="dxa"/>
            <w:right w:w="108" w:type="dxa"/>
          </w:tblCellMar>
        </w:tblPrEx>
        <w:trPr>
          <w:trHeight w:val="1134"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bidi="ar"/>
                <w14:textFill>
                  <w14:solidFill>
                    <w14:schemeClr w14:val="tx1"/>
                  </w14:solidFill>
                </w14:textFill>
              </w:rPr>
              <w:t>1</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both"/>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关于推进河南省企业信用信息公示监管警示系统建设工作的实施意见</w:t>
            </w:r>
          </w:p>
        </w:tc>
        <w:tc>
          <w:tcPr>
            <w:tcW w:w="17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洛工商办〔2016〕5号</w:t>
            </w:r>
          </w:p>
        </w:tc>
        <w:tc>
          <w:tcPr>
            <w:tcW w:w="12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信用监管科</w:t>
            </w:r>
          </w:p>
        </w:tc>
      </w:tr>
      <w:tr>
        <w:tblPrEx>
          <w:tblCellMar>
            <w:top w:w="0" w:type="dxa"/>
            <w:left w:w="108" w:type="dxa"/>
            <w:bottom w:w="0" w:type="dxa"/>
            <w:right w:w="108" w:type="dxa"/>
          </w:tblCellMar>
        </w:tblPrEx>
        <w:trPr>
          <w:trHeight w:val="1134"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bidi="ar"/>
                <w14:textFill>
                  <w14:solidFill>
                    <w14:schemeClr w14:val="tx1"/>
                  </w14:solidFill>
                </w14:textFill>
              </w:rPr>
              <w:t>2</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both"/>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关于促进个体工商户转型为小微企业工作的实施意见</w:t>
            </w:r>
          </w:p>
        </w:tc>
        <w:tc>
          <w:tcPr>
            <w:tcW w:w="17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洛工商〔2018〕39号</w:t>
            </w:r>
          </w:p>
        </w:tc>
        <w:tc>
          <w:tcPr>
            <w:tcW w:w="12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行政审批科</w:t>
            </w:r>
          </w:p>
        </w:tc>
      </w:tr>
      <w:tr>
        <w:tblPrEx>
          <w:tblCellMar>
            <w:top w:w="0" w:type="dxa"/>
            <w:left w:w="108" w:type="dxa"/>
            <w:bottom w:w="0" w:type="dxa"/>
            <w:right w:w="108" w:type="dxa"/>
          </w:tblCellMar>
        </w:tblPrEx>
        <w:trPr>
          <w:trHeight w:val="1134"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bidi="ar"/>
                <w14:textFill>
                  <w14:solidFill>
                    <w14:schemeClr w14:val="tx1"/>
                  </w14:solidFill>
                </w14:textFill>
              </w:rPr>
              <w:t>3</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both"/>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关于落实《市场监管总局工业和信息化部公安部关于加强电动自行车国家标准实施监督的意见》的通知</w:t>
            </w:r>
          </w:p>
        </w:tc>
        <w:tc>
          <w:tcPr>
            <w:tcW w:w="17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洛市监〔2019〕108号、洛市监规-2019-001号</w:t>
            </w:r>
          </w:p>
        </w:tc>
        <w:tc>
          <w:tcPr>
            <w:tcW w:w="1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标准化科</w:t>
            </w:r>
          </w:p>
        </w:tc>
      </w:tr>
      <w:tr>
        <w:tblPrEx>
          <w:tblCellMar>
            <w:top w:w="0" w:type="dxa"/>
            <w:left w:w="108" w:type="dxa"/>
            <w:bottom w:w="0" w:type="dxa"/>
            <w:right w:w="108" w:type="dxa"/>
          </w:tblCellMar>
        </w:tblPrEx>
        <w:trPr>
          <w:trHeight w:val="1134"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bidi="ar"/>
                <w14:textFill>
                  <w14:solidFill>
                    <w14:schemeClr w14:val="tx1"/>
                  </w14:solidFill>
                </w14:textFill>
              </w:rPr>
              <w:t>4</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both"/>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关于印发《关于进一步加强合同监管工作的指导意见》的通知</w:t>
            </w:r>
          </w:p>
        </w:tc>
        <w:tc>
          <w:tcPr>
            <w:tcW w:w="17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洛市监〔2020〕90号、洛市监规-2020-003号</w:t>
            </w:r>
          </w:p>
        </w:tc>
        <w:tc>
          <w:tcPr>
            <w:tcW w:w="1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市场规范管理科</w:t>
            </w:r>
          </w:p>
        </w:tc>
      </w:tr>
      <w:tr>
        <w:tblPrEx>
          <w:tblCellMar>
            <w:top w:w="0" w:type="dxa"/>
            <w:left w:w="108" w:type="dxa"/>
            <w:bottom w:w="0" w:type="dxa"/>
            <w:right w:w="108" w:type="dxa"/>
          </w:tblCellMar>
        </w:tblPrEx>
        <w:trPr>
          <w:trHeight w:val="1134"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bidi="ar"/>
                <w14:textFill>
                  <w14:solidFill>
                    <w14:schemeClr w14:val="tx1"/>
                  </w14:solidFill>
                </w14:textFill>
              </w:rPr>
              <w:t>5</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both"/>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洛阳市知识产权运营服务体系建设专项资金管理办法</w:t>
            </w:r>
          </w:p>
        </w:tc>
        <w:tc>
          <w:tcPr>
            <w:tcW w:w="17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洛市监〔2020〕114号、洛市监规-2020-006号</w:t>
            </w:r>
          </w:p>
        </w:tc>
        <w:tc>
          <w:tcPr>
            <w:tcW w:w="1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知识产权促进科</w:t>
            </w:r>
          </w:p>
        </w:tc>
      </w:tr>
      <w:tr>
        <w:tblPrEx>
          <w:tblCellMar>
            <w:top w:w="0" w:type="dxa"/>
            <w:left w:w="108" w:type="dxa"/>
            <w:bottom w:w="0" w:type="dxa"/>
            <w:right w:w="108" w:type="dxa"/>
          </w:tblCellMar>
        </w:tblPrEx>
        <w:trPr>
          <w:trHeight w:val="1134"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bidi="ar"/>
                <w14:textFill>
                  <w14:solidFill>
                    <w14:schemeClr w14:val="tx1"/>
                  </w14:solidFill>
                </w14:textFill>
              </w:rPr>
              <w:t>6</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both"/>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洛阳市知识产权专项资金管理办法</w:t>
            </w:r>
          </w:p>
        </w:tc>
        <w:tc>
          <w:tcPr>
            <w:tcW w:w="17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洛市监〔2020〕115号、洛市监规-2020-007号</w:t>
            </w:r>
          </w:p>
        </w:tc>
        <w:tc>
          <w:tcPr>
            <w:tcW w:w="1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知识产权促进科</w:t>
            </w:r>
          </w:p>
        </w:tc>
      </w:tr>
      <w:tr>
        <w:tblPrEx>
          <w:tblCellMar>
            <w:top w:w="0" w:type="dxa"/>
            <w:left w:w="108" w:type="dxa"/>
            <w:bottom w:w="0" w:type="dxa"/>
            <w:right w:w="108" w:type="dxa"/>
          </w:tblCellMar>
        </w:tblPrEx>
        <w:trPr>
          <w:trHeight w:val="1134"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bidi="ar"/>
                <w14:textFill>
                  <w14:solidFill>
                    <w14:schemeClr w14:val="tx1"/>
                  </w14:solidFill>
                </w14:textFill>
              </w:rPr>
              <w:t>7</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both"/>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洛阳市知识产权质押融资奖补和风险补偿实施办法</w:t>
            </w:r>
          </w:p>
        </w:tc>
        <w:tc>
          <w:tcPr>
            <w:tcW w:w="17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洛市监〔2020〕116号、洛市监规-2020-008号</w:t>
            </w:r>
          </w:p>
        </w:tc>
        <w:tc>
          <w:tcPr>
            <w:tcW w:w="1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知识产权促进科</w:t>
            </w:r>
          </w:p>
        </w:tc>
      </w:tr>
    </w:tbl>
    <w:p>
      <w:pPr>
        <w:rPr>
          <w:color w:val="000000" w:themeColor="text1"/>
          <w14:textFill>
            <w14:solidFill>
              <w14:schemeClr w14:val="tx1"/>
            </w14:solidFill>
          </w14:textFill>
        </w:rPr>
      </w:pPr>
    </w:p>
    <w:tbl>
      <w:tblPr>
        <w:tblStyle w:val="5"/>
        <w:tblW w:w="5000" w:type="pct"/>
        <w:tblInd w:w="0" w:type="dxa"/>
        <w:tblLayout w:type="autofit"/>
        <w:tblCellMar>
          <w:top w:w="0" w:type="dxa"/>
          <w:left w:w="108" w:type="dxa"/>
          <w:bottom w:w="0" w:type="dxa"/>
          <w:right w:w="108" w:type="dxa"/>
        </w:tblCellMar>
      </w:tblPr>
      <w:tblGrid>
        <w:gridCol w:w="627"/>
        <w:gridCol w:w="2793"/>
        <w:gridCol w:w="2926"/>
        <w:gridCol w:w="2176"/>
      </w:tblGrid>
      <w:tr>
        <w:tblPrEx>
          <w:tblCellMar>
            <w:top w:w="0" w:type="dxa"/>
            <w:left w:w="108" w:type="dxa"/>
            <w:bottom w:w="0" w:type="dxa"/>
            <w:right w:w="108" w:type="dxa"/>
          </w:tblCellMar>
        </w:tblPrEx>
        <w:trPr>
          <w:trHeight w:val="640" w:hRule="atLeast"/>
          <w:tblHeader/>
        </w:trPr>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黑体" w:hAnsi="仿宋" w:eastAsia="黑体" w:cs="方正黑体_GBK"/>
                <w:bCs/>
                <w:color w:val="000000" w:themeColor="text1"/>
                <w:sz w:val="28"/>
                <w:szCs w:val="28"/>
                <w14:textFill>
                  <w14:solidFill>
                    <w14:schemeClr w14:val="tx1"/>
                  </w14:solidFill>
                </w14:textFill>
              </w:rPr>
            </w:pPr>
            <w:r>
              <w:rPr>
                <w:rFonts w:hint="eastAsia" w:ascii="黑体" w:hAnsi="仿宋" w:eastAsia="黑体" w:cs="方正黑体_GBK"/>
                <w:bCs/>
                <w:color w:val="000000" w:themeColor="text1"/>
                <w:sz w:val="28"/>
                <w:szCs w:val="28"/>
                <w:lang w:bidi="ar"/>
                <w14:textFill>
                  <w14:solidFill>
                    <w14:schemeClr w14:val="tx1"/>
                  </w14:solidFill>
                </w14:textFill>
              </w:rPr>
              <w:t>序号</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黑体" w:hAnsi="仿宋" w:eastAsia="黑体" w:cs="方正黑体_GBK"/>
                <w:bCs/>
                <w:color w:val="000000" w:themeColor="text1"/>
                <w:sz w:val="28"/>
                <w:szCs w:val="28"/>
                <w14:textFill>
                  <w14:solidFill>
                    <w14:schemeClr w14:val="tx1"/>
                  </w14:solidFill>
                </w14:textFill>
              </w:rPr>
            </w:pPr>
            <w:r>
              <w:rPr>
                <w:rFonts w:hint="eastAsia" w:ascii="黑体" w:hAnsi="仿宋" w:eastAsia="黑体" w:cs="方正黑体_GBK"/>
                <w:bCs/>
                <w:color w:val="000000" w:themeColor="text1"/>
                <w:sz w:val="28"/>
                <w:szCs w:val="28"/>
                <w:lang w:bidi="ar"/>
                <w14:textFill>
                  <w14:solidFill>
                    <w14:schemeClr w14:val="tx1"/>
                  </w14:solidFill>
                </w14:textFill>
              </w:rPr>
              <w:t>文件名称</w:t>
            </w:r>
          </w:p>
        </w:tc>
        <w:tc>
          <w:tcPr>
            <w:tcW w:w="17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黑体" w:hAnsi="仿宋" w:eastAsia="黑体" w:cs="方正黑体_GBK"/>
                <w:bCs/>
                <w:color w:val="000000" w:themeColor="text1"/>
                <w:sz w:val="28"/>
                <w:szCs w:val="28"/>
                <w14:textFill>
                  <w14:solidFill>
                    <w14:schemeClr w14:val="tx1"/>
                  </w14:solidFill>
                </w14:textFill>
              </w:rPr>
            </w:pPr>
            <w:r>
              <w:rPr>
                <w:rFonts w:hint="eastAsia" w:ascii="黑体" w:hAnsi="仿宋" w:eastAsia="黑体" w:cs="方正黑体_GBK"/>
                <w:bCs/>
                <w:color w:val="000000" w:themeColor="text1"/>
                <w:sz w:val="28"/>
                <w:szCs w:val="28"/>
                <w:lang w:bidi="ar"/>
                <w14:textFill>
                  <w14:solidFill>
                    <w14:schemeClr w14:val="tx1"/>
                  </w14:solidFill>
                </w14:textFill>
              </w:rPr>
              <w:t>文号</w:t>
            </w:r>
          </w:p>
        </w:tc>
        <w:tc>
          <w:tcPr>
            <w:tcW w:w="12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黑体" w:hAnsi="仿宋" w:eastAsia="黑体" w:cs="方正黑体_GBK"/>
                <w:bCs/>
                <w:color w:val="000000" w:themeColor="text1"/>
                <w:sz w:val="28"/>
                <w:szCs w:val="28"/>
                <w14:textFill>
                  <w14:solidFill>
                    <w14:schemeClr w14:val="tx1"/>
                  </w14:solidFill>
                </w14:textFill>
              </w:rPr>
            </w:pPr>
            <w:r>
              <w:rPr>
                <w:rFonts w:hint="eastAsia" w:ascii="黑体" w:hAnsi="仿宋" w:eastAsia="黑体" w:cs="方正黑体_GBK"/>
                <w:bCs/>
                <w:color w:val="000000" w:themeColor="text1"/>
                <w:sz w:val="28"/>
                <w:szCs w:val="28"/>
                <w:lang w:bidi="ar"/>
                <w14:textFill>
                  <w14:solidFill>
                    <w14:schemeClr w14:val="tx1"/>
                  </w14:solidFill>
                </w14:textFill>
              </w:rPr>
              <w:t>制定科室</w:t>
            </w:r>
          </w:p>
        </w:tc>
      </w:tr>
      <w:tr>
        <w:tblPrEx>
          <w:tblCellMar>
            <w:top w:w="0" w:type="dxa"/>
            <w:left w:w="108" w:type="dxa"/>
            <w:bottom w:w="0" w:type="dxa"/>
            <w:right w:w="108" w:type="dxa"/>
          </w:tblCellMar>
        </w:tblPrEx>
        <w:trPr>
          <w:trHeight w:val="630"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bidi="ar"/>
                <w14:textFill>
                  <w14:solidFill>
                    <w14:schemeClr w14:val="tx1"/>
                  </w14:solidFill>
                </w14:textFill>
              </w:rPr>
              <w:t>8</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both"/>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关于废止和宣布失效部分行政规范性文件的决定</w:t>
            </w:r>
          </w:p>
        </w:tc>
        <w:tc>
          <w:tcPr>
            <w:tcW w:w="17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洛市监〔2021〕38号、洛市监规-2021-002号</w:t>
            </w:r>
          </w:p>
        </w:tc>
        <w:tc>
          <w:tcPr>
            <w:tcW w:w="1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法规科</w:t>
            </w:r>
          </w:p>
        </w:tc>
      </w:tr>
      <w:tr>
        <w:tblPrEx>
          <w:tblCellMar>
            <w:top w:w="0" w:type="dxa"/>
            <w:left w:w="108" w:type="dxa"/>
            <w:bottom w:w="0" w:type="dxa"/>
            <w:right w:w="108" w:type="dxa"/>
          </w:tblCellMar>
        </w:tblPrEx>
        <w:trPr>
          <w:trHeight w:val="630"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bidi="ar"/>
                <w14:textFill>
                  <w14:solidFill>
                    <w14:schemeClr w14:val="tx1"/>
                  </w14:solidFill>
                </w14:textFill>
              </w:rPr>
              <w:t>9</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both"/>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洛阳市知识产权强企备案实施办法</w:t>
            </w:r>
          </w:p>
        </w:tc>
        <w:tc>
          <w:tcPr>
            <w:tcW w:w="17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洛市监〔2021〕46号、洛市监规-2021-003号</w:t>
            </w:r>
          </w:p>
        </w:tc>
        <w:tc>
          <w:tcPr>
            <w:tcW w:w="1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知识产权促进科</w:t>
            </w:r>
          </w:p>
        </w:tc>
      </w:tr>
      <w:tr>
        <w:tblPrEx>
          <w:tblCellMar>
            <w:top w:w="0" w:type="dxa"/>
            <w:left w:w="108" w:type="dxa"/>
            <w:bottom w:w="0" w:type="dxa"/>
            <w:right w:w="108" w:type="dxa"/>
          </w:tblCellMar>
        </w:tblPrEx>
        <w:trPr>
          <w:trHeight w:val="630"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bidi="ar"/>
                <w14:textFill>
                  <w14:solidFill>
                    <w14:schemeClr w14:val="tx1"/>
                  </w14:solidFill>
                </w14:textFill>
              </w:rPr>
              <w:t>10</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both"/>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关于废止行政规范性文件的决定</w:t>
            </w:r>
          </w:p>
        </w:tc>
        <w:tc>
          <w:tcPr>
            <w:tcW w:w="17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洛市监〔2021〕58号、洛市监规-2021-004号</w:t>
            </w:r>
          </w:p>
        </w:tc>
        <w:tc>
          <w:tcPr>
            <w:tcW w:w="1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法规科</w:t>
            </w:r>
          </w:p>
        </w:tc>
      </w:tr>
      <w:tr>
        <w:tblPrEx>
          <w:tblCellMar>
            <w:top w:w="0" w:type="dxa"/>
            <w:left w:w="108" w:type="dxa"/>
            <w:bottom w:w="0" w:type="dxa"/>
            <w:right w:w="108" w:type="dxa"/>
          </w:tblCellMar>
        </w:tblPrEx>
        <w:trPr>
          <w:trHeight w:val="866"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bidi="ar"/>
                <w14:textFill>
                  <w14:solidFill>
                    <w14:schemeClr w14:val="tx1"/>
                  </w14:solidFill>
                </w14:textFill>
              </w:rPr>
              <w:t>11</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both"/>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洛阳市中小学知识产权普及教育实验基地建设暂行办法</w:t>
            </w:r>
          </w:p>
        </w:tc>
        <w:tc>
          <w:tcPr>
            <w:tcW w:w="17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洛市监〔2022〕12号、洛市监规-2022-001号</w:t>
            </w:r>
          </w:p>
        </w:tc>
        <w:tc>
          <w:tcPr>
            <w:tcW w:w="1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知识产权促进科</w:t>
            </w:r>
          </w:p>
        </w:tc>
      </w:tr>
    </w:tbl>
    <w:p>
      <w:pPr>
        <w:widowControl w:val="0"/>
        <w:overflowPunct w:val="0"/>
        <w:adjustRightInd w:val="0"/>
        <w:snapToGrid w:val="0"/>
        <w:spacing w:line="600" w:lineRule="exact"/>
        <w:ind w:firstLine="640" w:firstLineChars="200"/>
        <w:jc w:val="both"/>
        <w:rPr>
          <w:rFonts w:ascii="仿宋" w:hAnsi="仿宋" w:eastAsia="仿宋" w:cs="仿宋_GB2312"/>
          <w:color w:val="000000" w:themeColor="text1"/>
          <w:sz w:val="32"/>
          <w:szCs w:val="32"/>
          <w14:textFill>
            <w14:solidFill>
              <w14:schemeClr w14:val="tx1"/>
            </w14:solidFill>
          </w14:textFill>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540F917-6183-4665-A200-7784841B889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67B32272-ED25-429A-838F-9F66621D1301}"/>
  </w:font>
  <w:font w:name="仿宋">
    <w:panose1 w:val="02010609060101010101"/>
    <w:charset w:val="86"/>
    <w:family w:val="modern"/>
    <w:pitch w:val="default"/>
    <w:sig w:usb0="800002BF" w:usb1="38CF7CFA" w:usb2="00000016" w:usb3="00000000" w:csb0="00040001" w:csb1="00000000"/>
    <w:embedRegular r:id="rId3" w:fontKey="{1DD965E6-DFB9-4EA0-B580-8E83CDF43ABF}"/>
  </w:font>
  <w:font w:name="NEU-BZ">
    <w:altName w:val="宋体"/>
    <w:panose1 w:val="00000000000000000000"/>
    <w:charset w:val="86"/>
    <w:family w:val="auto"/>
    <w:pitch w:val="default"/>
    <w:sig w:usb0="00000000" w:usb1="00000000" w:usb2="00000016" w:usb3="00000000" w:csb0="00040001" w:csb1="00000000"/>
  </w:font>
  <w:font w:name="方正小标宋_GBK">
    <w:altName w:val="微软雅黑"/>
    <w:panose1 w:val="03000509000000000000"/>
    <w:charset w:val="86"/>
    <w:family w:val="script"/>
    <w:pitch w:val="default"/>
    <w:sig w:usb0="00000000" w:usb1="00000000" w:usb2="00000010" w:usb3="00000000" w:csb0="00040000" w:csb1="00000000"/>
    <w:embedRegular r:id="rId4" w:fontKey="{70419997-DF05-4FF0-8A7F-8357419DCD3D}"/>
  </w:font>
  <w:font w:name="方正仿宋_GBK">
    <w:altName w:val="微软雅黑"/>
    <w:panose1 w:val="03000509000000000000"/>
    <w:charset w:val="86"/>
    <w:family w:val="script"/>
    <w:pitch w:val="default"/>
    <w:sig w:usb0="00000000" w:usb1="00000000" w:usb2="00000010" w:usb3="00000000" w:csb0="00040000" w:csb1="00000000"/>
    <w:embedRegular r:id="rId5" w:fontKey="{C23ABA93-89F5-4CDB-A1F8-9C5F566368E5}"/>
  </w:font>
  <w:font w:name="仿宋_GB2312">
    <w:altName w:val="仿宋"/>
    <w:panose1 w:val="02010609030101010101"/>
    <w:charset w:val="86"/>
    <w:family w:val="modern"/>
    <w:pitch w:val="default"/>
    <w:sig w:usb0="00000000" w:usb1="00000000" w:usb2="00000010" w:usb3="00000000" w:csb0="00040000" w:csb1="00000000"/>
    <w:embedRegular r:id="rId6" w:fontKey="{F603ADC0-C4EC-4F88-B109-0B5AA664EEE9}"/>
  </w:font>
  <w:font w:name="方正黑体_GBK">
    <w:altName w:val="微软雅黑"/>
    <w:panose1 w:val="03000509000000000000"/>
    <w:charset w:val="86"/>
    <w:family w:val="script"/>
    <w:pitch w:val="default"/>
    <w:sig w:usb0="00000000" w:usb1="00000000" w:usb2="00000010" w:usb3="00000000" w:csb0="00040000" w:csb1="00000000"/>
    <w:embedRegular r:id="rId7" w:fontKey="{FE0553B3-CE06-4FC2-A2F5-1ACAF4B94939}"/>
  </w:font>
  <w:font w:name="微软雅黑">
    <w:panose1 w:val="020B0503020204020204"/>
    <w:charset w:val="86"/>
    <w:family w:val="auto"/>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小标宋简体">
    <w:panose1 w:val="02000000000000000000"/>
    <w:charset w:val="86"/>
    <w:family w:val="auto"/>
    <w:pitch w:val="default"/>
    <w:sig w:usb0="00000001" w:usb1="08000000" w:usb2="00000000" w:usb3="00000000" w:csb0="00040000" w:csb1="00000000"/>
    <w:embedRegular r:id="rId8" w:fontKey="{74DA8CBA-78A1-47A4-A4FC-1FE42B68EE3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1NWZjMGU1MjljMTkzMjMxNjEzODdkMzc4NGFkZmUifQ=="/>
  </w:docVars>
  <w:rsids>
    <w:rsidRoot w:val="1CB1575C"/>
    <w:rsid w:val="0AEC727C"/>
    <w:rsid w:val="1CB1575C"/>
    <w:rsid w:val="5D4A309B"/>
    <w:rsid w:val="769004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Calibri" w:hAnsi="NEU-BZ" w:eastAsia="宋体" w:cs="Times New Roman"/>
      <w:sz w:val="22"/>
      <w:szCs w:val="22"/>
      <w:lang w:val="en-US" w:eastAsia="zh-CN" w:bidi="ar-SA"/>
    </w:rPr>
  </w:style>
  <w:style w:type="paragraph" w:styleId="3">
    <w:name w:val="heading 1"/>
    <w:basedOn w:val="1"/>
    <w:next w:val="1"/>
    <w:link w:val="9"/>
    <w:qFormat/>
    <w:uiPriority w:val="0"/>
    <w:pPr>
      <w:keepNext/>
      <w:spacing w:before="120" w:after="120" w:line="240" w:lineRule="auto"/>
      <w:ind w:firstLine="560" w:firstLineChars="200"/>
      <w:jc w:val="left"/>
      <w:outlineLvl w:val="0"/>
    </w:pPr>
    <w:rPr>
      <w:rFonts w:ascii="黑体" w:hAnsi="黑体" w:eastAsia="仿宋" w:cs="Times New Roman"/>
      <w:bCs/>
      <w:kern w:val="32"/>
      <w:sz w:val="32"/>
      <w:szCs w:val="32"/>
      <w:lang w:eastAsia="en-US" w:bidi="en-US"/>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99"/>
    <w:rPr>
      <w:rFonts w:ascii="宋体" w:hAnsi="宋体" w:cs="宋体"/>
      <w:sz w:val="21"/>
      <w:szCs w:val="21"/>
    </w:rPr>
  </w:style>
  <w:style w:type="paragraph" w:styleId="4">
    <w:name w:val="Normal (Web)"/>
    <w:basedOn w:val="1"/>
    <w:unhideWhenUsed/>
    <w:qFormat/>
    <w:uiPriority w:val="0"/>
    <w:pPr>
      <w:spacing w:before="100" w:beforeAutospacing="1" w:after="100" w:afterAutospacing="1"/>
    </w:pPr>
    <w:rPr>
      <w:rFonts w:ascii="宋体" w:hAnsi="宋体" w:cs="宋体"/>
      <w:sz w:val="24"/>
      <w:szCs w:val="24"/>
    </w:rPr>
  </w:style>
  <w:style w:type="table" w:styleId="6">
    <w:name w:val="Table Grid"/>
    <w:basedOn w:val="5"/>
    <w:qFormat/>
    <w:uiPriority w:val="59"/>
    <w:rPr>
      <w:rFonts w:ascii="Times New Roman" w:hAnsi="Times New Roman" w:eastAsia="宋体" w:cs="Times New Roman"/>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8">
    <w:name w:val="Strong"/>
    <w:basedOn w:val="7"/>
    <w:qFormat/>
    <w:uiPriority w:val="22"/>
    <w:rPr>
      <w:b/>
      <w:bCs/>
    </w:rPr>
  </w:style>
  <w:style w:type="character" w:customStyle="1" w:styleId="9">
    <w:name w:val="标题 1 字符"/>
    <w:link w:val="3"/>
    <w:qFormat/>
    <w:uiPriority w:val="0"/>
    <w:rPr>
      <w:rFonts w:ascii="黑体" w:hAnsi="黑体" w:eastAsia="仿宋" w:cs="Times New Roman"/>
      <w:bCs/>
      <w:color w:val="000000"/>
      <w:kern w:val="0"/>
      <w:sz w:val="32"/>
      <w:szCs w:val="20"/>
      <w:lang w:val="zh-CN" w:eastAsia="en-US" w:bidi="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2024-06-04T05:29:00Z</dcterms:created>
  <dc:creator>时霖</dc:creator>
  <cp:lastModifiedBy>时霖</cp:lastModifiedBy>
  <dcterms:modified xsi:type="dcterms:W3CDTF">2024-06-04T05:37:42Z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B2645E6117E14EBD9198A91241ACB004_13</vt:lpwstr>
  </property>
</Properties>
</file>