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pStyle w:val="2"/>
        <w:rPr>
          <w:rFonts w:hint="eastAsia"/>
        </w:rPr>
      </w:pPr>
    </w:p>
    <w:p>
      <w:pPr>
        <w:keepNext w:val="0"/>
        <w:keepLines w:val="0"/>
        <w:pageBreakBefore w:val="0"/>
        <w:kinsoku/>
        <w:wordWrap/>
        <w:overflowPunct/>
        <w:topLinePunct w:val="0"/>
        <w:autoSpaceDE/>
        <w:autoSpaceDN/>
        <w:bidi w:val="0"/>
        <w:adjustRightInd/>
        <w:snapToGrid/>
        <w:spacing w:line="56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洛阳市民政局</w:t>
      </w:r>
      <w:r>
        <w:rPr>
          <w:rFonts w:hint="eastAsia" w:ascii="方正小标宋简体" w:hAnsi="方正小标宋简体" w:eastAsia="方正小标宋简体" w:cs="方正小标宋简体"/>
          <w:sz w:val="44"/>
          <w:szCs w:val="44"/>
          <w:lang w:val="en-US" w:eastAsia="zh-CN"/>
        </w:rPr>
        <w:t xml:space="preserve"> 洛阳市财政局</w:t>
      </w:r>
    </w:p>
    <w:p>
      <w:pPr>
        <w:keepNext w:val="0"/>
        <w:keepLines w:val="0"/>
        <w:pageBreakBefore w:val="0"/>
        <w:kinsoku/>
        <w:wordWrap/>
        <w:overflowPunct/>
        <w:topLinePunct w:val="0"/>
        <w:autoSpaceDE/>
        <w:autoSpaceDN/>
        <w:bidi w:val="0"/>
        <w:adjustRightInd/>
        <w:snapToGrid/>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eastAsia="zh-CN"/>
        </w:rPr>
        <w:t>调整</w:t>
      </w:r>
      <w:r>
        <w:rPr>
          <w:rFonts w:hint="eastAsia" w:ascii="方正小标宋简体" w:hAnsi="方正小标宋简体" w:eastAsia="方正小标宋简体" w:cs="方正小标宋简体"/>
          <w:sz w:val="44"/>
          <w:szCs w:val="44"/>
        </w:rPr>
        <w:t>城市社区</w:t>
      </w:r>
      <w:r>
        <w:rPr>
          <w:rFonts w:hint="eastAsia" w:ascii="方正小标宋简体" w:hAnsi="方正小标宋简体" w:eastAsia="方正小标宋简体" w:cs="方正小标宋简体"/>
          <w:sz w:val="44"/>
          <w:szCs w:val="44"/>
          <w:lang w:eastAsia="zh-CN"/>
        </w:rPr>
        <w:t>工作人员</w:t>
      </w:r>
      <w:r>
        <w:rPr>
          <w:rFonts w:hint="eastAsia" w:ascii="方正小标宋简体" w:hAnsi="方正小标宋简体" w:eastAsia="方正小标宋简体" w:cs="方正小标宋简体"/>
          <w:sz w:val="44"/>
          <w:szCs w:val="44"/>
        </w:rPr>
        <w:t>报酬</w:t>
      </w:r>
      <w:r>
        <w:rPr>
          <w:rFonts w:hint="eastAsia" w:ascii="方正小标宋简体" w:hAnsi="方正小标宋简体" w:eastAsia="方正小标宋简体" w:cs="方正小标宋简体"/>
          <w:sz w:val="44"/>
          <w:szCs w:val="44"/>
          <w:lang w:eastAsia="zh-CN"/>
        </w:rPr>
        <w:t>标准的通知</w:t>
      </w:r>
    </w:p>
    <w:p>
      <w:pPr>
        <w:pStyle w:val="6"/>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jc w:val="center"/>
        <w:textAlignment w:val="auto"/>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32"/>
          <w:szCs w:val="32"/>
          <w:shd w:val="clear" w:color="auto" w:fill="FFFFFF"/>
          <w:lang w:eastAsia="zh-CN"/>
        </w:rPr>
        <w:t>洛民通</w:t>
      </w:r>
      <w:r>
        <w:rPr>
          <w:rFonts w:hint="eastAsia" w:ascii="仿宋_GB2312" w:hAnsi="仿宋_GB2312" w:eastAsia="仿宋_GB2312" w:cs="仿宋_GB2312"/>
          <w:color w:val="000000"/>
          <w:sz w:val="32"/>
          <w:szCs w:val="32"/>
          <w:shd w:val="clear" w:color="auto" w:fill="FFFFFF"/>
        </w:rPr>
        <w:t>〔20</w:t>
      </w:r>
      <w:r>
        <w:rPr>
          <w:rFonts w:hint="eastAsia" w:ascii="仿宋_GB2312" w:hAnsi="仿宋_GB2312" w:eastAsia="仿宋_GB2312" w:cs="仿宋_GB2312"/>
          <w:color w:val="000000"/>
          <w:sz w:val="32"/>
          <w:szCs w:val="32"/>
          <w:shd w:val="clear" w:color="auto" w:fill="FFFFFF"/>
          <w:lang w:val="en-US" w:eastAsia="zh-CN"/>
        </w:rPr>
        <w:t>22</w:t>
      </w:r>
      <w:r>
        <w:rPr>
          <w:rFonts w:hint="eastAsia" w:ascii="仿宋_GB2312" w:hAnsi="仿宋_GB2312" w:eastAsia="仿宋_GB2312" w:cs="仿宋_GB2312"/>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lang w:val="en-US" w:eastAsia="zh-CN"/>
        </w:rPr>
        <w:t>3</w:t>
      </w:r>
      <w:r>
        <w:rPr>
          <w:rFonts w:hint="eastAsia" w:ascii="仿宋_GB2312" w:hAnsi="仿宋_GB2312" w:eastAsia="仿宋_GB2312" w:cs="仿宋_GB2312"/>
          <w:color w:val="000000"/>
          <w:sz w:val="32"/>
          <w:szCs w:val="32"/>
          <w:shd w:val="clear" w:color="auto" w:fill="FFFFFF"/>
        </w:rPr>
        <w:t>号</w: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eastAsia="仿宋_GB2312"/>
          <w:sz w:val="32"/>
          <w:szCs w:val="32"/>
        </w:rPr>
      </w:pPr>
      <w:r>
        <w:rPr>
          <w:rFonts w:hint="eastAsia" w:eastAsia="仿宋_GB2312"/>
          <w:sz w:val="32"/>
          <w:szCs w:val="32"/>
          <w:lang w:eastAsia="zh-CN"/>
        </w:rPr>
        <w:t>各城市区民政局、财政局，涧西区、西工区、洛龙区社区治理和服务创新办公室</w:t>
      </w:r>
      <w:r>
        <w:rPr>
          <w:rFonts w:hint="eastAsia" w:eastAsia="仿宋_GB2312"/>
          <w:sz w:val="32"/>
          <w:szCs w:val="32"/>
        </w:rPr>
        <w:t>：</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640" w:firstLineChars="200"/>
        <w:textAlignment w:val="baseline"/>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进一步加强我市城市社区工作人员队伍建设，充分调动社区工作人员的积极性，保持社区工作人员队伍稳定，更好地为全市社区居民提供优质、快捷、高效的服务，经市政府批准，现就提高城市社区工作人员报酬标准有关事宜通知如下：</w:t>
      </w:r>
    </w:p>
    <w:p>
      <w:pPr>
        <w:keepNext w:val="0"/>
        <w:keepLines w:val="0"/>
        <w:pageBreakBefore w:val="0"/>
        <w:kinsoku/>
        <w:wordWrap/>
        <w:overflowPunct/>
        <w:topLinePunct w:val="0"/>
        <w:autoSpaceDE/>
        <w:autoSpaceDN/>
        <w:bidi w:val="0"/>
        <w:adjustRightInd/>
        <w:snapToGrid/>
        <w:spacing w:line="560" w:lineRule="exact"/>
        <w:ind w:firstLine="640"/>
        <w:jc w:val="left"/>
        <w:rPr>
          <w:rFonts w:hint="eastAsia" w:ascii="黑体" w:hAnsi="黑体" w:eastAsia="黑体" w:cs="黑体"/>
          <w:sz w:val="32"/>
          <w:szCs w:val="32"/>
          <w:lang w:val="en-US" w:eastAsia="zh-CN"/>
        </w:rPr>
      </w:pPr>
      <w:r>
        <w:rPr>
          <w:rFonts w:hint="eastAsia" w:ascii="黑体" w:hAnsi="黑体" w:eastAsia="黑体" w:cs="黑体"/>
          <w:sz w:val="32"/>
          <w:szCs w:val="32"/>
          <w:lang w:eastAsia="zh-CN"/>
        </w:rPr>
        <w:t>一</w:t>
      </w:r>
      <w:r>
        <w:rPr>
          <w:rFonts w:hint="eastAsia" w:ascii="黑体" w:hAnsi="黑体" w:eastAsia="黑体" w:cs="黑体"/>
          <w:sz w:val="32"/>
          <w:szCs w:val="32"/>
        </w:rPr>
        <w:t>、</w:t>
      </w:r>
      <w:r>
        <w:rPr>
          <w:rFonts w:hint="eastAsia" w:ascii="黑体" w:hAnsi="黑体" w:eastAsia="黑体" w:cs="黑体"/>
          <w:sz w:val="32"/>
          <w:szCs w:val="32"/>
          <w:lang w:val="en-US" w:eastAsia="zh-CN"/>
        </w:rPr>
        <w:t>调增幅度</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rPr>
          <w:rFonts w:hint="eastAsia" w:ascii="仿宋_GB2312" w:hAnsi="仿宋_GB2312" w:eastAsia="仿宋_GB2312" w:cs="仿宋_GB2312"/>
          <w:sz w:val="32"/>
          <w:szCs w:val="32"/>
          <w:lang w:val="en-US" w:eastAsia="zh-CN"/>
        </w:rPr>
      </w:pPr>
      <w:r>
        <w:rPr>
          <w:rFonts w:hint="eastAsia" w:ascii="Times New Roman" w:hAnsi="Times New Roman" w:eastAsia="仿宋_GB2312"/>
          <w:sz w:val="32"/>
          <w:szCs w:val="32"/>
          <w:lang w:val="en-US" w:eastAsia="zh-CN"/>
        </w:rPr>
        <w:t xml:space="preserve">    </w:t>
      </w:r>
      <w:r>
        <w:rPr>
          <w:rFonts w:hint="eastAsia" w:ascii="仿宋_GB2312" w:hAnsi="仿宋_GB2312" w:eastAsia="仿宋_GB2312" w:cs="仿宋_GB2312"/>
          <w:sz w:val="32"/>
          <w:szCs w:val="32"/>
          <w:lang w:eastAsia="zh-CN"/>
        </w:rPr>
        <w:t>城市</w:t>
      </w:r>
      <w:r>
        <w:rPr>
          <w:rFonts w:hint="eastAsia" w:ascii="仿宋_GB2312" w:hAnsi="仿宋_GB2312" w:eastAsia="仿宋_GB2312" w:cs="仿宋_GB2312"/>
          <w:sz w:val="32"/>
          <w:szCs w:val="32"/>
        </w:rPr>
        <w:t>社区工作</w:t>
      </w:r>
      <w:r>
        <w:rPr>
          <w:rFonts w:hint="eastAsia" w:ascii="仿宋_GB2312" w:hAnsi="仿宋_GB2312" w:eastAsia="仿宋_GB2312" w:cs="仿宋_GB2312"/>
          <w:sz w:val="32"/>
          <w:szCs w:val="32"/>
          <w:lang w:eastAsia="zh-CN"/>
        </w:rPr>
        <w:t>人员</w:t>
      </w:r>
      <w:r>
        <w:rPr>
          <w:rFonts w:hint="eastAsia" w:ascii="仿宋_GB2312" w:hAnsi="仿宋_GB2312" w:eastAsia="仿宋_GB2312" w:cs="仿宋_GB2312"/>
          <w:sz w:val="32"/>
          <w:szCs w:val="32"/>
        </w:rPr>
        <w:t>正职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副职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一般</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人员</w:t>
      </w:r>
      <w:r>
        <w:rPr>
          <w:rFonts w:hint="eastAsia" w:ascii="仿宋_GB2312" w:hAnsi="仿宋_GB2312" w:eastAsia="仿宋_GB2312" w:cs="仿宋_GB2312"/>
          <w:sz w:val="32"/>
          <w:szCs w:val="32"/>
          <w:lang w:eastAsia="zh-CN"/>
        </w:rPr>
        <w:t>（含网格员）的工作报酬标准参照</w:t>
      </w:r>
      <w:r>
        <w:rPr>
          <w:rFonts w:hint="eastAsia" w:ascii="仿宋_GB2312" w:hAnsi="仿宋_GB2312" w:eastAsia="仿宋_GB2312" w:cs="仿宋_GB2312"/>
          <w:sz w:val="32"/>
          <w:szCs w:val="32"/>
          <w:lang w:val="en-US" w:eastAsia="zh-CN"/>
        </w:rPr>
        <w:t>2022年1月1日全市最低工资标准（每月2000元）的170%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扣除个人</w:t>
      </w:r>
      <w:r>
        <w:rPr>
          <w:rFonts w:hint="eastAsia" w:ascii="仿宋_GB2312" w:hAnsi="仿宋_GB2312" w:eastAsia="仿宋_GB2312" w:cs="仿宋_GB2312"/>
          <w:sz w:val="32"/>
          <w:szCs w:val="32"/>
          <w:lang w:eastAsia="zh-CN"/>
        </w:rPr>
        <w:t>保险</w:t>
      </w:r>
      <w:r>
        <w:rPr>
          <w:rFonts w:hint="eastAsia" w:ascii="仿宋_GB2312" w:hAnsi="仿宋_GB2312" w:eastAsia="仿宋_GB2312" w:cs="仿宋_GB2312"/>
          <w:sz w:val="32"/>
          <w:szCs w:val="32"/>
          <w:lang w:val="en-US" w:eastAsia="zh-CN"/>
        </w:rPr>
        <w:t>350.2元</w:t>
      </w:r>
      <w:r>
        <w:rPr>
          <w:rFonts w:hint="eastAsia" w:ascii="仿宋_GB2312" w:hAnsi="仿宋_GB2312" w:eastAsia="仿宋_GB2312" w:cs="仿宋_GB2312"/>
          <w:sz w:val="32"/>
          <w:szCs w:val="32"/>
          <w:lang w:eastAsia="zh-CN"/>
        </w:rPr>
        <w:t>，每人每月实发</w:t>
      </w:r>
      <w:r>
        <w:rPr>
          <w:rFonts w:hint="eastAsia" w:ascii="仿宋_GB2312" w:hAnsi="仿宋_GB2312" w:eastAsia="仿宋_GB2312" w:cs="仿宋_GB2312"/>
          <w:sz w:val="32"/>
          <w:szCs w:val="32"/>
          <w:lang w:val="en-US" w:eastAsia="zh-CN"/>
        </w:rPr>
        <w:t>3049.8元）、160%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扣除个人</w:t>
      </w:r>
      <w:r>
        <w:rPr>
          <w:rFonts w:hint="eastAsia" w:ascii="仿宋_GB2312" w:hAnsi="仿宋_GB2312" w:eastAsia="仿宋_GB2312" w:cs="仿宋_GB2312"/>
          <w:sz w:val="32"/>
          <w:szCs w:val="32"/>
          <w:lang w:eastAsia="zh-CN"/>
        </w:rPr>
        <w:t>保险</w:t>
      </w:r>
      <w:r>
        <w:rPr>
          <w:rFonts w:hint="eastAsia" w:ascii="仿宋_GB2312" w:hAnsi="仿宋_GB2312" w:eastAsia="仿宋_GB2312" w:cs="仿宋_GB2312"/>
          <w:sz w:val="32"/>
          <w:szCs w:val="32"/>
          <w:lang w:val="en-US" w:eastAsia="zh-CN"/>
        </w:rPr>
        <w:t>329.6元，每人每月</w:t>
      </w:r>
      <w:r>
        <w:rPr>
          <w:rFonts w:hint="eastAsia" w:ascii="仿宋_GB2312" w:hAnsi="仿宋_GB2312" w:eastAsia="仿宋_GB2312" w:cs="仿宋_GB2312"/>
          <w:sz w:val="32"/>
          <w:szCs w:val="32"/>
          <w:lang w:eastAsia="zh-CN"/>
        </w:rPr>
        <w:t>实发</w:t>
      </w:r>
      <w:r>
        <w:rPr>
          <w:rFonts w:hint="eastAsia" w:ascii="仿宋_GB2312" w:hAnsi="仿宋_GB2312" w:eastAsia="仿宋_GB2312" w:cs="仿宋_GB2312"/>
          <w:sz w:val="32"/>
          <w:szCs w:val="32"/>
          <w:lang w:val="en-US" w:eastAsia="zh-CN"/>
        </w:rPr>
        <w:t>2870.4元）、150%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扣除个人</w:t>
      </w:r>
      <w:r>
        <w:rPr>
          <w:rFonts w:hint="eastAsia" w:ascii="仿宋_GB2312" w:hAnsi="仿宋_GB2312" w:eastAsia="仿宋_GB2312" w:cs="仿宋_GB2312"/>
          <w:sz w:val="32"/>
          <w:szCs w:val="32"/>
          <w:lang w:eastAsia="zh-CN"/>
        </w:rPr>
        <w:t>保险</w:t>
      </w:r>
      <w:r>
        <w:rPr>
          <w:rFonts w:hint="eastAsia" w:ascii="仿宋_GB2312" w:hAnsi="仿宋_GB2312" w:eastAsia="仿宋_GB2312" w:cs="仿宋_GB2312"/>
          <w:sz w:val="32"/>
          <w:szCs w:val="32"/>
          <w:lang w:val="en-US" w:eastAsia="zh-CN"/>
        </w:rPr>
        <w:t>327.44元，每人每月</w:t>
      </w:r>
      <w:r>
        <w:rPr>
          <w:rFonts w:hint="eastAsia" w:ascii="仿宋_GB2312" w:hAnsi="仿宋_GB2312" w:eastAsia="仿宋_GB2312" w:cs="仿宋_GB2312"/>
          <w:sz w:val="32"/>
          <w:szCs w:val="32"/>
          <w:lang w:eastAsia="zh-CN"/>
        </w:rPr>
        <w:t>实发</w:t>
      </w:r>
      <w:r>
        <w:rPr>
          <w:rFonts w:hint="eastAsia" w:ascii="仿宋_GB2312" w:hAnsi="仿宋_GB2312" w:eastAsia="仿宋_GB2312" w:cs="仿宋_GB2312"/>
          <w:sz w:val="32"/>
          <w:szCs w:val="32"/>
          <w:lang w:val="en-US" w:eastAsia="zh-CN"/>
        </w:rPr>
        <w:t>2672.56元）执行。</w:t>
      </w:r>
    </w:p>
    <w:p>
      <w:pPr>
        <w:keepNext w:val="0"/>
        <w:keepLines w:val="0"/>
        <w:pageBreakBefore w:val="0"/>
        <w:numPr>
          <w:ilvl w:val="0"/>
          <w:numId w:val="0"/>
        </w:numPr>
        <w:kinsoku/>
        <w:wordWrap/>
        <w:overflowPunct/>
        <w:topLinePunct w:val="0"/>
        <w:autoSpaceDE/>
        <w:autoSpaceDN/>
        <w:bidi w:val="0"/>
        <w:adjustRightInd/>
        <w:snapToGrid/>
        <w:spacing w:line="560" w:lineRule="exact"/>
        <w:jc w:val="left"/>
        <w:rPr>
          <w:rFonts w:hint="eastAsia" w:ascii="黑体" w:hAnsi="黑体" w:eastAsia="黑体" w:cs="黑体"/>
          <w:sz w:val="32"/>
          <w:szCs w:val="32"/>
          <w:lang w:eastAsia="zh-CN"/>
        </w:rPr>
      </w:pPr>
      <w:r>
        <w:rPr>
          <w:rFonts w:hint="eastAsia" w:ascii="黑体" w:hAnsi="黑体" w:eastAsia="黑体" w:cs="黑体"/>
          <w:sz w:val="32"/>
          <w:szCs w:val="32"/>
          <w:lang w:val="en-US" w:eastAsia="zh-CN"/>
        </w:rPr>
        <w:t xml:space="preserve">    二、</w:t>
      </w:r>
      <w:r>
        <w:rPr>
          <w:rFonts w:hint="eastAsia" w:ascii="黑体" w:hAnsi="黑体" w:eastAsia="黑体" w:cs="黑体"/>
          <w:sz w:val="32"/>
          <w:szCs w:val="32"/>
          <w:lang w:eastAsia="zh-CN"/>
        </w:rPr>
        <w:t>工作要求</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自2022年起</w:t>
      </w:r>
      <w:r>
        <w:rPr>
          <w:rFonts w:hint="eastAsia" w:ascii="仿宋_GB2312" w:hAnsi="仿宋_GB2312" w:eastAsia="仿宋_GB2312" w:cs="仿宋_GB2312"/>
          <w:b w:val="0"/>
          <w:bCs/>
          <w:sz w:val="32"/>
          <w:szCs w:val="32"/>
          <w:u w:val="none"/>
          <w:lang w:val="en-US" w:eastAsia="zh-CN"/>
        </w:rPr>
        <w:t>城市社区工作人员工作报酬经费由各区财政负担。</w:t>
      </w:r>
      <w:r>
        <w:rPr>
          <w:rFonts w:hint="eastAsia" w:ascii="仿宋_GB2312" w:hAnsi="仿宋_GB2312" w:eastAsia="仿宋_GB2312" w:cs="仿宋_GB2312"/>
          <w:sz w:val="32"/>
          <w:szCs w:val="32"/>
          <w:u w:val="none"/>
          <w:lang w:val="en-US" w:eastAsia="zh-CN"/>
        </w:rPr>
        <w:t>市、区两级民</w:t>
      </w:r>
      <w:r>
        <w:rPr>
          <w:rFonts w:hint="eastAsia" w:ascii="仿宋_GB2312" w:hAnsi="仿宋_GB2312" w:eastAsia="仿宋_GB2312" w:cs="仿宋_GB2312"/>
          <w:sz w:val="32"/>
          <w:szCs w:val="32"/>
          <w:lang w:val="en-US" w:eastAsia="zh-CN"/>
        </w:rPr>
        <w:t>政、财政部门要定期对经费的发放情况进行督导检查。</w:t>
      </w:r>
      <w:r>
        <w:rPr>
          <w:rFonts w:hint="eastAsia" w:ascii="仿宋_GB2312" w:hAnsi="仿宋_GB2312" w:eastAsia="仿宋_GB2312" w:cs="仿宋_GB2312"/>
          <w:b w:val="0"/>
          <w:bCs/>
          <w:sz w:val="32"/>
          <w:szCs w:val="32"/>
          <w:highlight w:val="none"/>
          <w:lang w:val="en-US" w:eastAsia="zh-CN"/>
        </w:rPr>
        <w:t>各</w:t>
      </w:r>
      <w:r>
        <w:rPr>
          <w:rFonts w:hint="eastAsia" w:ascii="仿宋_GB2312" w:hAnsi="仿宋_GB2312" w:eastAsia="仿宋_GB2312" w:cs="仿宋_GB2312"/>
          <w:b w:val="0"/>
          <w:bCs/>
          <w:sz w:val="32"/>
          <w:szCs w:val="32"/>
          <w:lang w:val="en-US" w:eastAsia="zh-CN"/>
        </w:rPr>
        <w:t>县政府可根据当地经济社会发展水平，参照城市社区工作人员工作报酬标准制定本地的社区工作人员工作报酬标准。</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Chars="200"/>
        <w:textAlignment w:val="baseline"/>
        <w:outlineLvl w:val="9"/>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 xml:space="preserve"> 三、执行时间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 xml:space="preserve"> 调整后的城市社区工作人员工作报酬标准从2022年1月1</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日起执行。</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sz w:val="32"/>
          <w:szCs w:val="32"/>
          <w:lang w:eastAsia="zh-CN"/>
        </w:rPr>
        <w:t>今后城市社区工作人员工作报酬标准由各区根据洛阳市</w:t>
      </w: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最低工资标准</w:t>
      </w:r>
      <w:r>
        <w:rPr>
          <w:rFonts w:hint="eastAsia" w:ascii="仿宋_GB2312" w:hAnsi="仿宋_GB2312" w:eastAsia="仿宋_GB2312" w:cs="仿宋_GB2312"/>
          <w:sz w:val="32"/>
          <w:szCs w:val="32"/>
          <w:lang w:eastAsia="zh-CN"/>
        </w:rPr>
        <w:t>提高而自行提高。</w:t>
      </w:r>
    </w:p>
    <w:p>
      <w:pPr>
        <w:keepNext w:val="0"/>
        <w:keepLines w:val="0"/>
        <w:pageBreakBefore w:val="0"/>
        <w:kinsoku/>
        <w:wordWrap/>
        <w:overflowPunct/>
        <w:topLinePunct w:val="0"/>
        <w:autoSpaceDE/>
        <w:autoSpaceDN/>
        <w:bidi w:val="0"/>
        <w:adjustRightInd/>
        <w:snapToGrid/>
        <w:spacing w:line="560" w:lineRule="exact"/>
        <w:ind w:firstLine="640"/>
        <w:jc w:val="left"/>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snapToGrid/>
        <w:spacing w:line="560" w:lineRule="exact"/>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kinsoku/>
        <w:wordWrap/>
        <w:overflowPunct/>
        <w:topLinePunct w:val="0"/>
        <w:autoSpaceDE/>
        <w:autoSpaceDN/>
        <w:bidi w:val="0"/>
        <w:adjustRightInd/>
        <w:snapToGrid/>
        <w:spacing w:line="560" w:lineRule="exact"/>
        <w:ind w:firstLine="640"/>
        <w:jc w:val="left"/>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adjustRightInd/>
        <w:snapToGrid/>
        <w:spacing w:line="560" w:lineRule="exact"/>
        <w:ind w:firstLine="64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洛阳市民政局</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洛阳市财政局</w:t>
      </w:r>
    </w:p>
    <w:p>
      <w:pPr>
        <w:keepNext w:val="0"/>
        <w:keepLines w:val="0"/>
        <w:pageBreakBefore w:val="0"/>
        <w:kinsoku/>
        <w:wordWrap/>
        <w:overflowPunct/>
        <w:topLinePunct w:val="0"/>
        <w:autoSpaceDE/>
        <w:autoSpaceDN/>
        <w:bidi w:val="0"/>
        <w:adjustRightInd/>
        <w:snapToGrid/>
        <w:spacing w:line="560" w:lineRule="exact"/>
        <w:ind w:firstLine="5440" w:firstLineChars="1700"/>
        <w:jc w:val="left"/>
        <w:rPr>
          <w:rFonts w:hint="eastAsia" w:ascii="仿宋_GB2312" w:hAnsi="仿宋_GB2312" w:eastAsia="仿宋_GB2312" w:cs="仿宋_GB2312"/>
          <w:color w:val="000000"/>
          <w:sz w:val="32"/>
          <w:szCs w:val="32"/>
          <w:lang w:val="en-US" w:eastAsia="zh-CN"/>
        </w:rPr>
      </w:pPr>
      <w:bookmarkStart w:id="0" w:name="_GoBack"/>
      <w:bookmarkEnd w:id="0"/>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5"/>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洛洛阳市民政局</w:t>
    </w:r>
    <w:r>
      <w:rPr>
        <w:rFonts w:hint="eastAsia" w:ascii="宋体" w:hAnsi="宋体" w:eastAsia="宋体" w:cs="宋体"/>
        <w:b/>
        <w:bCs/>
        <w:color w:val="005192"/>
        <w:sz w:val="28"/>
        <w:szCs w:val="44"/>
        <w:lang w:val="en-US" w:eastAsia="zh-CN"/>
      </w:rPr>
      <w:t xml:space="preserve">发布    </w:t>
    </w:r>
  </w:p>
  <w:p>
    <w:pPr>
      <w:pStyle w:val="5"/>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B2EBCA5"/>
    <w:rsid w:val="1C86388D"/>
    <w:rsid w:val="1E466CFF"/>
    <w:rsid w:val="22440422"/>
    <w:rsid w:val="22D735EA"/>
    <w:rsid w:val="23F13B42"/>
    <w:rsid w:val="287C616C"/>
    <w:rsid w:val="2FCE575A"/>
    <w:rsid w:val="2FFC7EDE"/>
    <w:rsid w:val="31A15F24"/>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CFC7064"/>
    <w:rsid w:val="5D0D7ECB"/>
    <w:rsid w:val="5FB7E391"/>
    <w:rsid w:val="608816D1"/>
    <w:rsid w:val="69D03F98"/>
    <w:rsid w:val="6A7F4576"/>
    <w:rsid w:val="6BF75DB0"/>
    <w:rsid w:val="6D0E3F22"/>
    <w:rsid w:val="70AF1C83"/>
    <w:rsid w:val="714A2531"/>
    <w:rsid w:val="71C61E01"/>
    <w:rsid w:val="71E9213F"/>
    <w:rsid w:val="75AA717D"/>
    <w:rsid w:val="7C9011D9"/>
    <w:rsid w:val="7CFB3184"/>
    <w:rsid w:val="7DC651C5"/>
    <w:rsid w:val="7DFBC28B"/>
    <w:rsid w:val="7F8F7885"/>
    <w:rsid w:val="7FCD5008"/>
    <w:rsid w:val="7FED60B9"/>
    <w:rsid w:val="AF7F4B14"/>
    <w:rsid w:val="BDBEB3A9"/>
    <w:rsid w:val="BF77E451"/>
    <w:rsid w:val="D5F6BFC8"/>
    <w:rsid w:val="D6DD9B99"/>
    <w:rsid w:val="DACF7BFF"/>
    <w:rsid w:val="DBF4C527"/>
    <w:rsid w:val="DEFF1FC4"/>
    <w:rsid w:val="DF7F9B08"/>
    <w:rsid w:val="F7CE0210"/>
    <w:rsid w:val="FDB75BAD"/>
    <w:rsid w:val="FDFDD5EB"/>
    <w:rsid w:val="FDFDDFF3"/>
    <w:rsid w:val="FEFD0C9C"/>
    <w:rsid w:val="FF774AD9"/>
    <w:rsid w:val="FFDA27BD"/>
    <w:rsid w:val="FFF680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宋体" w:eastAsia="宋体" w:cs="宋体"/>
      <w:sz w:val="21"/>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page number"/>
    <w:basedOn w:val="8"/>
    <w:qFormat/>
    <w:uiPriority w:val="0"/>
  </w:style>
  <w:style w:type="paragraph" w:customStyle="1" w:styleId="10">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1">
    <w:name w:val="一级标题（二号小标宋）"/>
    <w:basedOn w:val="1"/>
    <w:link w:val="14"/>
    <w:qFormat/>
    <w:uiPriority w:val="0"/>
    <w:pPr>
      <w:jc w:val="center"/>
    </w:pPr>
    <w:rPr>
      <w:rFonts w:ascii="方正书宋简体" w:hAnsi="方正书宋简体" w:eastAsia="方正小标宋_GBK"/>
      <w:color w:val="000000"/>
      <w:sz w:val="42"/>
      <w:szCs w:val="42"/>
    </w:rPr>
  </w:style>
  <w:style w:type="paragraph" w:customStyle="1" w:styleId="12">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3">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4">
    <w:name w:val="一级标题（二号小标宋） Char"/>
    <w:basedOn w:val="8"/>
    <w:link w:val="11"/>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2</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2021-09-14T18:41:00Z</dcterms:created>
  <dc:creator>t</dc:creator>
  <cp:lastModifiedBy>greatwall</cp:lastModifiedBy>
  <cp:lastPrinted>2024-03-22T03:33:00Z</cp:lastPrinted>
  <dcterms:modified xsi:type="dcterms:W3CDTF">2024-03-28T16:13:34Z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