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rPr>
          <w:rFonts w:hint="default" w:ascii="Times New Roman" w:hAnsi="Times New Roman" w:eastAsia="黑体" w:cs="Times New Roman"/>
          <w:bCs/>
          <w:color w:val="000000"/>
          <w:kern w:val="0"/>
          <w:szCs w:val="32"/>
          <w:lang w:val="en-US" w:eastAsia="zh-CN" w:bidi="ar"/>
        </w:rPr>
      </w:pPr>
      <w:r>
        <w:rPr>
          <w:rFonts w:hint="default" w:ascii="Times New Roman" w:hAnsi="Times New Roman" w:eastAsia="黑体" w:cs="Times New Roman"/>
          <w:bCs/>
          <w:color w:val="000000"/>
          <w:kern w:val="0"/>
          <w:szCs w:val="32"/>
          <w:lang w:bidi="ar"/>
        </w:rPr>
        <w:t>附件</w:t>
      </w:r>
      <w:r>
        <w:rPr>
          <w:rFonts w:hint="default" w:ascii="Times New Roman" w:hAnsi="Times New Roman" w:eastAsia="黑体" w:cs="Times New Roman"/>
          <w:bCs/>
          <w:color w:val="000000"/>
          <w:kern w:val="0"/>
          <w:szCs w:val="32"/>
          <w:lang w:val="en-US" w:eastAsia="zh-CN" w:bidi="ar"/>
        </w:rPr>
        <w:t>1</w:t>
      </w:r>
    </w:p>
    <w:p>
      <w:pPr>
        <w:spacing w:line="500" w:lineRule="exact"/>
        <w:rPr>
          <w:rFonts w:hint="eastAsia" w:ascii="仿宋_GB2312" w:hAnsi="Tahoma" w:cs="仿宋_GB2312"/>
          <w:color w:val="000000"/>
          <w:kern w:val="0"/>
          <w:sz w:val="10"/>
          <w:szCs w:val="10"/>
          <w:lang w:bidi="ar"/>
        </w:rPr>
      </w:pP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_GBK" w:hAnsi="方正小标宋_GBK" w:eastAsia="方正小标宋_GBK" w:cs="方正小标宋_GBK"/>
          <w:bCs/>
          <w:color w:val="000000"/>
          <w:kern w:val="0"/>
          <w:sz w:val="44"/>
          <w:szCs w:val="44"/>
          <w:lang w:bidi="ar"/>
        </w:rPr>
      </w:pPr>
      <w:bookmarkStart w:id="0" w:name="_GoBack"/>
      <w:r>
        <w:rPr>
          <w:rFonts w:hint="eastAsia" w:ascii="方正小标宋_GBK" w:hAnsi="方正小标宋_GBK" w:eastAsia="方正小标宋_GBK" w:cs="方正小标宋_GBK"/>
          <w:bCs/>
          <w:color w:val="000000"/>
          <w:kern w:val="0"/>
          <w:sz w:val="44"/>
          <w:szCs w:val="44"/>
          <w:lang w:bidi="ar"/>
        </w:rPr>
        <w:t>洛阳市房屋建筑和市政基础设施工程项目招标代理机构及</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文星标宋" w:hAnsi="文星标宋" w:eastAsia="文星标宋" w:cs="文星标宋"/>
          <w:bCs/>
          <w:color w:val="000000"/>
          <w:kern w:val="0"/>
          <w:sz w:val="44"/>
          <w:szCs w:val="44"/>
          <w:lang w:bidi="ar"/>
        </w:rPr>
      </w:pPr>
      <w:r>
        <w:rPr>
          <w:rFonts w:hint="eastAsia" w:ascii="方正小标宋_GBK" w:hAnsi="方正小标宋_GBK" w:eastAsia="方正小标宋_GBK" w:cs="方正小标宋_GBK"/>
          <w:bCs/>
          <w:color w:val="000000"/>
          <w:kern w:val="0"/>
          <w:sz w:val="44"/>
          <w:szCs w:val="44"/>
          <w:lang w:bidi="ar"/>
        </w:rPr>
        <w:t>项目负责人市场行为考核标准</w:t>
      </w:r>
    </w:p>
    <w:bookmarkEnd w:id="0"/>
    <w:p>
      <w:pPr>
        <w:pStyle w:val="2"/>
        <w:keepNext w:val="0"/>
        <w:keepLines w:val="0"/>
        <w:pageBreakBefore w:val="0"/>
        <w:widowControl w:val="0"/>
        <w:kinsoku/>
        <w:wordWrap/>
        <w:overflowPunct/>
        <w:topLinePunct w:val="0"/>
        <w:autoSpaceDE/>
        <w:autoSpaceDN/>
        <w:bidi w:val="0"/>
        <w:adjustRightInd/>
        <w:snapToGrid/>
        <w:spacing w:line="200" w:lineRule="exact"/>
        <w:textAlignment w:val="auto"/>
      </w:pPr>
    </w:p>
    <w:tbl>
      <w:tblPr>
        <w:tblStyle w:val="7"/>
        <w:tblW w:w="13783" w:type="dxa"/>
        <w:jc w:val="center"/>
        <w:tblLayout w:type="fixed"/>
        <w:tblCellMar>
          <w:top w:w="0" w:type="dxa"/>
          <w:left w:w="0" w:type="dxa"/>
          <w:bottom w:w="0" w:type="dxa"/>
          <w:right w:w="0" w:type="dxa"/>
        </w:tblCellMar>
      </w:tblPr>
      <w:tblGrid>
        <w:gridCol w:w="650"/>
        <w:gridCol w:w="585"/>
        <w:gridCol w:w="584"/>
        <w:gridCol w:w="7076"/>
        <w:gridCol w:w="1041"/>
        <w:gridCol w:w="1024"/>
        <w:gridCol w:w="1023"/>
        <w:gridCol w:w="1800"/>
      </w:tblGrid>
      <w:tr>
        <w:tblPrEx>
          <w:tblCellMar>
            <w:top w:w="0" w:type="dxa"/>
            <w:left w:w="0" w:type="dxa"/>
            <w:bottom w:w="0" w:type="dxa"/>
            <w:right w:w="0" w:type="dxa"/>
          </w:tblCellMar>
        </w:tblPrEx>
        <w:trPr>
          <w:trHeight w:val="377" w:hRule="atLeast"/>
          <w:tblHeader/>
          <w:jc w:val="center"/>
        </w:trPr>
        <w:tc>
          <w:tcPr>
            <w:tcW w:w="65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黑体" w:hAnsi="黑体" w:eastAsia="黑体" w:cs="黑体"/>
                <w:sz w:val="24"/>
                <w:szCs w:val="24"/>
              </w:rPr>
            </w:pPr>
            <w:r>
              <w:rPr>
                <w:rFonts w:hint="eastAsia" w:ascii="黑体" w:hAnsi="黑体" w:eastAsia="黑体" w:cs="黑体"/>
                <w:sz w:val="24"/>
                <w:szCs w:val="24"/>
              </w:rPr>
              <w:t>序号</w:t>
            </w:r>
          </w:p>
        </w:tc>
        <w:tc>
          <w:tcPr>
            <w:tcW w:w="58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黑体" w:hAnsi="黑体" w:eastAsia="黑体" w:cs="黑体"/>
                <w:sz w:val="24"/>
                <w:szCs w:val="24"/>
              </w:rPr>
            </w:pPr>
            <w:r>
              <w:rPr>
                <w:rFonts w:hint="eastAsia" w:ascii="黑体" w:hAnsi="黑体" w:eastAsia="黑体" w:cs="黑体"/>
                <w:sz w:val="24"/>
                <w:szCs w:val="24"/>
              </w:rPr>
              <w:t>行为类别</w:t>
            </w:r>
          </w:p>
        </w:tc>
        <w:tc>
          <w:tcPr>
            <w:tcW w:w="58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黑体" w:hAnsi="黑体" w:eastAsia="黑体" w:cs="黑体"/>
                <w:sz w:val="24"/>
                <w:szCs w:val="24"/>
              </w:rPr>
            </w:pPr>
            <w:r>
              <w:rPr>
                <w:rFonts w:hint="eastAsia" w:ascii="黑体" w:hAnsi="黑体" w:eastAsia="黑体" w:cs="黑体"/>
                <w:sz w:val="24"/>
                <w:szCs w:val="24"/>
              </w:rPr>
              <w:t>评价内容</w:t>
            </w:r>
          </w:p>
        </w:tc>
        <w:tc>
          <w:tcPr>
            <w:tcW w:w="7076"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黑体" w:hAnsi="黑体" w:eastAsia="黑体" w:cs="黑体"/>
                <w:sz w:val="24"/>
                <w:szCs w:val="24"/>
              </w:rPr>
            </w:pPr>
            <w:r>
              <w:rPr>
                <w:rFonts w:hint="eastAsia" w:ascii="黑体" w:hAnsi="黑体" w:eastAsia="黑体" w:cs="黑体"/>
                <w:sz w:val="24"/>
                <w:szCs w:val="24"/>
              </w:rPr>
              <w:t>市场行为</w:t>
            </w:r>
          </w:p>
        </w:tc>
        <w:tc>
          <w:tcPr>
            <w:tcW w:w="1041"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黑体" w:hAnsi="黑体" w:eastAsia="黑体" w:cs="黑体"/>
                <w:sz w:val="24"/>
                <w:szCs w:val="24"/>
              </w:rPr>
            </w:pPr>
            <w:r>
              <w:rPr>
                <w:rFonts w:hint="eastAsia" w:ascii="黑体" w:hAnsi="黑体" w:eastAsia="黑体" w:cs="黑体"/>
                <w:sz w:val="24"/>
                <w:szCs w:val="24"/>
              </w:rPr>
              <w:t>公示</w:t>
            </w:r>
            <w:r>
              <w:rPr>
                <w:rFonts w:hint="eastAsia" w:ascii="黑体" w:hAnsi="黑体" w:eastAsia="黑体" w:cs="黑体"/>
                <w:sz w:val="24"/>
                <w:szCs w:val="24"/>
              </w:rPr>
              <w:br w:type="textWrapping"/>
            </w:r>
            <w:r>
              <w:rPr>
                <w:rFonts w:hint="eastAsia" w:ascii="黑体" w:hAnsi="黑体" w:eastAsia="黑体" w:cs="黑体"/>
                <w:sz w:val="24"/>
                <w:szCs w:val="24"/>
              </w:rPr>
              <w:t>期限</w:t>
            </w:r>
          </w:p>
        </w:tc>
        <w:tc>
          <w:tcPr>
            <w:tcW w:w="204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黑体" w:hAnsi="黑体" w:eastAsia="黑体" w:cs="黑体"/>
                <w:sz w:val="24"/>
                <w:szCs w:val="24"/>
              </w:rPr>
            </w:pPr>
            <w:r>
              <w:rPr>
                <w:rFonts w:hint="eastAsia" w:ascii="黑体" w:hAnsi="黑体" w:eastAsia="黑体" w:cs="黑体"/>
                <w:sz w:val="24"/>
                <w:szCs w:val="24"/>
              </w:rPr>
              <w:t>考评分值</w:t>
            </w:r>
          </w:p>
        </w:tc>
        <w:tc>
          <w:tcPr>
            <w:tcW w:w="18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黑体" w:hAnsi="黑体" w:eastAsia="黑体" w:cs="黑体"/>
                <w:sz w:val="24"/>
                <w:szCs w:val="24"/>
              </w:rPr>
            </w:pPr>
            <w:r>
              <w:rPr>
                <w:rFonts w:hint="eastAsia" w:ascii="黑体" w:hAnsi="黑体" w:eastAsia="黑体" w:cs="黑体"/>
                <w:sz w:val="24"/>
                <w:szCs w:val="24"/>
              </w:rPr>
              <w:t>备注说明</w:t>
            </w:r>
          </w:p>
        </w:tc>
      </w:tr>
      <w:tr>
        <w:tblPrEx>
          <w:tblCellMar>
            <w:top w:w="0" w:type="dxa"/>
            <w:left w:w="0" w:type="dxa"/>
            <w:bottom w:w="0" w:type="dxa"/>
            <w:right w:w="0" w:type="dxa"/>
          </w:tblCellMar>
        </w:tblPrEx>
        <w:trPr>
          <w:trHeight w:val="507" w:hRule="atLeast"/>
          <w:tblHeader/>
          <w:jc w:val="center"/>
        </w:trPr>
        <w:tc>
          <w:tcPr>
            <w:tcW w:w="65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1041"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黑体" w:hAnsi="黑体" w:eastAsia="黑体" w:cs="黑体"/>
                <w:sz w:val="24"/>
                <w:szCs w:val="24"/>
              </w:rPr>
            </w:pPr>
            <w:r>
              <w:rPr>
                <w:rFonts w:hint="eastAsia" w:ascii="黑体" w:hAnsi="黑体" w:eastAsia="黑体" w:cs="黑体"/>
                <w:sz w:val="24"/>
                <w:szCs w:val="24"/>
              </w:rPr>
              <w:t>招标代理机构</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黑体" w:hAnsi="黑体" w:eastAsia="黑体" w:cs="黑体"/>
                <w:sz w:val="24"/>
                <w:szCs w:val="24"/>
              </w:rPr>
            </w:pPr>
            <w:r>
              <w:rPr>
                <w:rFonts w:hint="eastAsia" w:ascii="黑体" w:hAnsi="黑体" w:eastAsia="黑体" w:cs="黑体"/>
                <w:sz w:val="24"/>
                <w:szCs w:val="24"/>
              </w:rPr>
              <w:t>项目</w:t>
            </w:r>
          </w:p>
          <w:p>
            <w:pPr>
              <w:jc w:val="center"/>
              <w:rPr>
                <w:rFonts w:hint="eastAsia" w:ascii="黑体" w:hAnsi="黑体" w:eastAsia="黑体" w:cs="黑体"/>
                <w:sz w:val="24"/>
                <w:szCs w:val="24"/>
              </w:rPr>
            </w:pPr>
            <w:r>
              <w:rPr>
                <w:rFonts w:hint="eastAsia" w:ascii="黑体" w:hAnsi="黑体" w:eastAsia="黑体" w:cs="黑体"/>
                <w:sz w:val="24"/>
                <w:szCs w:val="24"/>
              </w:rPr>
              <w:t>负责人</w:t>
            </w:r>
          </w:p>
        </w:tc>
        <w:tc>
          <w:tcPr>
            <w:tcW w:w="18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w:t>
            </w:r>
          </w:p>
        </w:tc>
        <w:tc>
          <w:tcPr>
            <w:tcW w:w="585"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p>
            <w:pPr>
              <w:jc w:val="center"/>
              <w:rPr>
                <w:rFonts w:hint="default" w:ascii="Times New Roman" w:hAnsi="Times New Roman" w:eastAsia="仿宋_GB2312" w:cs="Times New Roman"/>
                <w:sz w:val="24"/>
                <w:szCs w:val="24"/>
              </w:rPr>
            </w:pPr>
          </w:p>
          <w:p>
            <w:pPr>
              <w:jc w:val="center"/>
              <w:rPr>
                <w:rFonts w:hint="default" w:ascii="Times New Roman" w:hAnsi="Times New Roman" w:eastAsia="仿宋_GB2312" w:cs="Times New Roman"/>
                <w:sz w:val="24"/>
                <w:szCs w:val="24"/>
              </w:rPr>
            </w:pPr>
          </w:p>
          <w:p>
            <w:pPr>
              <w:jc w:val="center"/>
              <w:rPr>
                <w:rFonts w:hint="default" w:ascii="Times New Roman" w:hAnsi="Times New Roman" w:eastAsia="仿宋_GB2312" w:cs="Times New Roman"/>
                <w:sz w:val="24"/>
                <w:szCs w:val="24"/>
              </w:rPr>
            </w:pPr>
          </w:p>
          <w:p>
            <w:pPr>
              <w:pStyle w:val="2"/>
              <w:jc w:val="center"/>
              <w:rPr>
                <w:rFonts w:hint="default"/>
                <w:sz w:val="24"/>
                <w:szCs w:val="24"/>
              </w:rPr>
            </w:pPr>
          </w:p>
          <w:p>
            <w:pPr>
              <w:jc w:val="center"/>
              <w:rPr>
                <w:rFonts w:hint="default" w:ascii="Times New Roman" w:hAnsi="Times New Roman" w:eastAsia="仿宋_GB2312" w:cs="Times New Roman"/>
                <w:sz w:val="24"/>
                <w:szCs w:val="24"/>
              </w:rPr>
            </w:pPr>
          </w:p>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良好行为</w:t>
            </w:r>
          </w:p>
          <w:p>
            <w:pPr>
              <w:jc w:val="center"/>
              <w:rPr>
                <w:rFonts w:hint="default" w:ascii="Times New Roman" w:hAnsi="Times New Roman" w:eastAsia="仿宋_GB2312" w:cs="Times New Roman"/>
                <w:sz w:val="24"/>
                <w:szCs w:val="24"/>
              </w:rPr>
            </w:pPr>
          </w:p>
          <w:p>
            <w:pPr>
              <w:jc w:val="center"/>
              <w:rPr>
                <w:rFonts w:hint="default" w:ascii="Times New Roman" w:hAnsi="Times New Roman" w:eastAsia="仿宋_GB2312" w:cs="Times New Roman"/>
                <w:sz w:val="24"/>
                <w:szCs w:val="24"/>
              </w:rPr>
            </w:pPr>
          </w:p>
          <w:p>
            <w:pPr>
              <w:jc w:val="center"/>
              <w:rPr>
                <w:rFonts w:hint="default" w:ascii="Times New Roman" w:hAnsi="Times New Roman" w:eastAsia="仿宋_GB2312" w:cs="Times New Roman"/>
                <w:sz w:val="24"/>
                <w:szCs w:val="24"/>
              </w:rPr>
            </w:pPr>
          </w:p>
          <w:p>
            <w:pPr>
              <w:jc w:val="center"/>
              <w:rPr>
                <w:rFonts w:hint="default" w:ascii="Times New Roman" w:hAnsi="Times New Roman" w:eastAsia="仿宋_GB2312" w:cs="Times New Roman"/>
                <w:sz w:val="24"/>
                <w:szCs w:val="24"/>
              </w:rPr>
            </w:pPr>
          </w:p>
          <w:p>
            <w:pPr>
              <w:jc w:val="center"/>
              <w:rPr>
                <w:rFonts w:hint="default" w:ascii="Times New Roman" w:hAnsi="Times New Roman" w:eastAsia="仿宋_GB2312" w:cs="Times New Roman"/>
                <w:sz w:val="24"/>
                <w:szCs w:val="24"/>
              </w:rPr>
            </w:pPr>
          </w:p>
          <w:p>
            <w:pPr>
              <w:jc w:val="center"/>
              <w:rPr>
                <w:rFonts w:hint="default" w:ascii="Times New Roman" w:hAnsi="Times New Roman" w:eastAsia="仿宋_GB2312" w:cs="Times New Roman"/>
                <w:sz w:val="24"/>
                <w:szCs w:val="24"/>
              </w:rPr>
            </w:pPr>
          </w:p>
          <w:p>
            <w:pPr>
              <w:jc w:val="center"/>
              <w:rPr>
                <w:rFonts w:hint="default" w:ascii="Times New Roman" w:hAnsi="Times New Roman" w:eastAsia="仿宋_GB2312" w:cs="Times New Roman"/>
                <w:sz w:val="24"/>
                <w:szCs w:val="24"/>
              </w:rPr>
            </w:pPr>
          </w:p>
          <w:p>
            <w:pPr>
              <w:jc w:val="center"/>
              <w:rPr>
                <w:rFonts w:hint="default" w:ascii="Times New Roman" w:hAnsi="Times New Roman" w:eastAsia="仿宋_GB2312" w:cs="Times New Roman"/>
                <w:sz w:val="24"/>
                <w:szCs w:val="24"/>
              </w:rPr>
            </w:pPr>
          </w:p>
          <w:p>
            <w:pPr>
              <w:jc w:val="center"/>
              <w:rPr>
                <w:rFonts w:hint="default" w:ascii="Times New Roman" w:hAnsi="Times New Roman" w:eastAsia="仿宋_GB2312" w:cs="Times New Roman"/>
                <w:sz w:val="24"/>
                <w:szCs w:val="24"/>
              </w:rPr>
            </w:pPr>
          </w:p>
          <w:p>
            <w:pPr>
              <w:jc w:val="center"/>
              <w:rPr>
                <w:rFonts w:hint="default" w:ascii="Times New Roman" w:hAnsi="Times New Roman" w:eastAsia="仿宋_GB2312" w:cs="Times New Roman"/>
                <w:sz w:val="24"/>
                <w:szCs w:val="24"/>
              </w:rPr>
            </w:pPr>
          </w:p>
          <w:p>
            <w:pPr>
              <w:jc w:val="center"/>
              <w:rPr>
                <w:rFonts w:hint="default" w:ascii="Times New Roman" w:hAnsi="Times New Roman" w:eastAsia="仿宋_GB2312" w:cs="Times New Roman"/>
                <w:sz w:val="24"/>
                <w:szCs w:val="24"/>
              </w:rPr>
            </w:pPr>
          </w:p>
          <w:p>
            <w:pPr>
              <w:jc w:val="center"/>
              <w:rPr>
                <w:rFonts w:hint="default" w:ascii="Times New Roman" w:hAnsi="Times New Roman" w:eastAsia="仿宋_GB2312" w:cs="Times New Roman"/>
                <w:sz w:val="24"/>
                <w:szCs w:val="24"/>
              </w:rPr>
            </w:pPr>
          </w:p>
          <w:p>
            <w:pPr>
              <w:pStyle w:val="3"/>
              <w:rPr>
                <w:rFonts w:hint="default"/>
                <w:sz w:val="24"/>
                <w:szCs w:val="24"/>
              </w:rPr>
            </w:pPr>
          </w:p>
          <w:p>
            <w:pPr>
              <w:jc w:val="both"/>
              <w:rPr>
                <w:rFonts w:hint="default" w:ascii="Times New Roman" w:hAnsi="Times New Roman" w:eastAsia="仿宋_GB2312" w:cs="Times New Roman"/>
                <w:sz w:val="24"/>
                <w:szCs w:val="24"/>
              </w:rPr>
            </w:pPr>
          </w:p>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良好行为</w:t>
            </w:r>
          </w:p>
          <w:p>
            <w:pPr>
              <w:jc w:val="center"/>
              <w:rPr>
                <w:rFonts w:hint="default" w:ascii="Times New Roman" w:hAnsi="Times New Roman" w:eastAsia="仿宋_GB2312" w:cs="Times New Roman"/>
                <w:sz w:val="24"/>
                <w:szCs w:val="24"/>
              </w:rPr>
            </w:pPr>
          </w:p>
        </w:tc>
        <w:tc>
          <w:tcPr>
            <w:tcW w:w="58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行业荣誉</w:t>
            </w: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因代理招标业务，受到住房和城乡建设主管部门或者相关行业协会表彰。</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eastAsia="zh-CN"/>
              </w:rPr>
              <w:t>最多加</w:t>
            </w:r>
            <w:r>
              <w:rPr>
                <w:rFonts w:hint="default" w:ascii="Times New Roman" w:hAnsi="Times New Roman" w:eastAsia="仿宋_GB2312" w:cs="Times New Roman"/>
                <w:sz w:val="24"/>
                <w:szCs w:val="24"/>
                <w:lang w:val="en-US" w:eastAsia="zh-CN"/>
              </w:rPr>
              <w:t>2分。</w:t>
            </w: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585" w:type="dxa"/>
            <w:vMerge w:val="continue"/>
            <w:tcBorders>
              <w:left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参与住房和城乡建主管部门或者相关行业协会组织的招标业务技能比赛并获奖。</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eastAsia="zh-CN"/>
              </w:rPr>
              <w:t>最多加</w:t>
            </w:r>
            <w:r>
              <w:rPr>
                <w:rFonts w:hint="default" w:ascii="Times New Roman" w:hAnsi="Times New Roman" w:eastAsia="仿宋_GB2312" w:cs="Times New Roman"/>
                <w:sz w:val="24"/>
                <w:szCs w:val="24"/>
                <w:lang w:val="en-US" w:eastAsia="zh-CN"/>
              </w:rPr>
              <w:t>2分。</w:t>
            </w: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w:t>
            </w:r>
          </w:p>
        </w:tc>
        <w:tc>
          <w:tcPr>
            <w:tcW w:w="585" w:type="dxa"/>
            <w:vMerge w:val="continue"/>
            <w:tcBorders>
              <w:left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在住房和城乡建设主管部门组织的招标投标主体会议及论坛上做正面交流发言。</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18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eastAsia="zh-CN"/>
              </w:rPr>
              <w:t>最多加</w:t>
            </w:r>
            <w:r>
              <w:rPr>
                <w:rFonts w:hint="default" w:ascii="Times New Roman" w:hAnsi="Times New Roman" w:eastAsia="仿宋_GB2312" w:cs="Times New Roman"/>
                <w:sz w:val="24"/>
                <w:szCs w:val="24"/>
                <w:lang w:val="en-US" w:eastAsia="zh-CN"/>
              </w:rPr>
              <w:t>2分。</w:t>
            </w: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w:t>
            </w:r>
          </w:p>
        </w:tc>
        <w:tc>
          <w:tcPr>
            <w:tcW w:w="585" w:type="dxa"/>
            <w:vMerge w:val="continue"/>
            <w:tcBorders>
              <w:left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24"/>
                <w:szCs w:val="24"/>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24"/>
                <w:szCs w:val="24"/>
              </w:rPr>
            </w:pPr>
          </w:p>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专业能力</w:t>
            </w:r>
          </w:p>
          <w:p>
            <w:pPr>
              <w:jc w:val="center"/>
              <w:rPr>
                <w:rFonts w:hint="default" w:ascii="Times New Roman" w:hAnsi="Times New Roman" w:eastAsia="仿宋_GB2312" w:cs="Times New Roman"/>
                <w:sz w:val="24"/>
                <w:szCs w:val="24"/>
                <w:lang w:val="en-US" w:eastAsia="zh-CN"/>
              </w:rPr>
            </w:pPr>
          </w:p>
          <w:p>
            <w:pPr>
              <w:jc w:val="center"/>
              <w:rPr>
                <w:rFonts w:hint="default" w:ascii="Times New Roman" w:hAnsi="Times New Roman" w:eastAsia="仿宋_GB2312" w:cs="Times New Roman"/>
                <w:sz w:val="24"/>
                <w:szCs w:val="24"/>
                <w:lang w:val="en-US" w:eastAsia="zh-CN"/>
              </w:rPr>
            </w:pPr>
          </w:p>
          <w:p>
            <w:pPr>
              <w:jc w:val="center"/>
              <w:rPr>
                <w:rFonts w:hint="default" w:ascii="Times New Roman" w:hAnsi="Times New Roman" w:eastAsia="仿宋_GB2312" w:cs="Times New Roman"/>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Times New Roman" w:hAnsi="Times New Roman" w:eastAsia="仿宋_GB2312" w:cs="Times New Roman"/>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160" w:lineRule="exact"/>
              <w:jc w:val="center"/>
              <w:textAlignment w:val="auto"/>
              <w:rPr>
                <w:rFonts w:hint="default" w:ascii="Times New Roman" w:hAnsi="Times New Roman" w:eastAsia="仿宋_GB2312" w:cs="Times New Roman"/>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专业能力</w:t>
            </w: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参与招标投标行业课题研究、编制相关行业规范、标准、招标文件范本或者培训教材等。</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18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eastAsia="zh-CN"/>
              </w:rPr>
              <w:t>最多加</w:t>
            </w:r>
            <w:r>
              <w:rPr>
                <w:rFonts w:hint="default" w:ascii="Times New Roman" w:hAnsi="Times New Roman" w:eastAsia="仿宋_GB2312" w:cs="Times New Roman"/>
                <w:sz w:val="24"/>
                <w:szCs w:val="24"/>
                <w:lang w:val="en-US" w:eastAsia="zh-CN"/>
              </w:rPr>
              <w:t>2分。</w:t>
            </w: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p>
        </w:tc>
        <w:tc>
          <w:tcPr>
            <w:tcW w:w="585" w:type="dxa"/>
            <w:vMerge w:val="continue"/>
            <w:tcBorders>
              <w:left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left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在专业期刊上发表建设工程项目招标投标相关论文。</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18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eastAsia="zh-CN"/>
              </w:rPr>
              <w:t>最多加</w:t>
            </w:r>
            <w:r>
              <w:rPr>
                <w:rFonts w:hint="default" w:ascii="Times New Roman" w:hAnsi="Times New Roman" w:eastAsia="仿宋_GB2312" w:cs="Times New Roman"/>
                <w:sz w:val="24"/>
                <w:szCs w:val="24"/>
                <w:lang w:val="en-US" w:eastAsia="zh-CN"/>
              </w:rPr>
              <w:t>2分。</w:t>
            </w: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w:t>
            </w:r>
          </w:p>
        </w:tc>
        <w:tc>
          <w:tcPr>
            <w:tcW w:w="585" w:type="dxa"/>
            <w:vMerge w:val="continue"/>
            <w:tcBorders>
              <w:left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left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协助住房和城乡建设主管部门开展规范招标投标市场的行为。</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18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eastAsia="zh-CN"/>
              </w:rPr>
              <w:t>最多加</w:t>
            </w:r>
            <w:r>
              <w:rPr>
                <w:rFonts w:hint="default" w:ascii="Times New Roman" w:hAnsi="Times New Roman" w:eastAsia="仿宋_GB2312" w:cs="Times New Roman"/>
                <w:sz w:val="24"/>
                <w:szCs w:val="24"/>
                <w:lang w:val="en-US" w:eastAsia="zh-CN"/>
              </w:rPr>
              <w:t>2分。</w:t>
            </w: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7</w:t>
            </w:r>
          </w:p>
        </w:tc>
        <w:tc>
          <w:tcPr>
            <w:tcW w:w="585" w:type="dxa"/>
            <w:vMerge w:val="continue"/>
            <w:tcBorders>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sz w:val="24"/>
                <w:szCs w:val="24"/>
              </w:rPr>
            </w:pPr>
          </w:p>
        </w:tc>
        <w:tc>
          <w:tcPr>
            <w:tcW w:w="584" w:type="dxa"/>
            <w:vMerge w:val="continue"/>
            <w:tcBorders>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受住房和城乡建设主管部门邀请对相关人员进行业务培训或协助开展相关工作。</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18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eastAsia="zh-CN"/>
              </w:rPr>
              <w:t>最多加</w:t>
            </w:r>
            <w:r>
              <w:rPr>
                <w:rFonts w:hint="default" w:ascii="Times New Roman" w:hAnsi="Times New Roman" w:eastAsia="仿宋_GB2312" w:cs="Times New Roman"/>
                <w:sz w:val="24"/>
                <w:szCs w:val="24"/>
                <w:lang w:val="en-US" w:eastAsia="zh-CN"/>
              </w:rPr>
              <w:t>2分。</w:t>
            </w:r>
          </w:p>
        </w:tc>
      </w:tr>
      <w:tr>
        <w:tblPrEx>
          <w:tblCellMar>
            <w:top w:w="0" w:type="dxa"/>
            <w:left w:w="0" w:type="dxa"/>
            <w:bottom w:w="0" w:type="dxa"/>
            <w:right w:w="0" w:type="dxa"/>
          </w:tblCellMar>
        </w:tblPrEx>
        <w:trPr>
          <w:trHeight w:val="680" w:hRule="atLeast"/>
          <w:jc w:val="center"/>
        </w:trPr>
        <w:tc>
          <w:tcPr>
            <w:tcW w:w="650" w:type="dxa"/>
            <w:tcBorders>
              <w:top w:val="single" w:color="auto" w:sz="4" w:space="0"/>
              <w:left w:val="single" w:color="auto"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8</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both"/>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代理的房屋建筑或者市政基础设施工程项目业绩被招标人评价为优秀的（评价表见附件2）</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1年</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10</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10</w:t>
            </w:r>
          </w:p>
        </w:tc>
        <w:tc>
          <w:tcPr>
            <w:tcW w:w="18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每</w:t>
            </w:r>
            <w:r>
              <w:rPr>
                <w:rFonts w:hint="default" w:ascii="Times New Roman" w:hAnsi="Times New Roman" w:eastAsia="仿宋_GB2312" w:cs="Times New Roman"/>
                <w:sz w:val="24"/>
                <w:szCs w:val="24"/>
                <w:lang w:eastAsia="zh-CN"/>
              </w:rPr>
              <w:t>有一个</w:t>
            </w:r>
            <w:r>
              <w:rPr>
                <w:rFonts w:hint="default" w:ascii="Times New Roman" w:hAnsi="Times New Roman" w:eastAsia="仿宋_GB2312" w:cs="Times New Roman"/>
                <w:sz w:val="24"/>
                <w:szCs w:val="24"/>
              </w:rPr>
              <w:t>加</w:t>
            </w:r>
            <w:r>
              <w:rPr>
                <w:rFonts w:hint="default"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rPr>
              <w:t>分，最多加</w:t>
            </w:r>
            <w:r>
              <w:rPr>
                <w:rFonts w:hint="default" w:ascii="Times New Roman" w:hAnsi="Times New Roman" w:eastAsia="仿宋_GB2312" w:cs="Times New Roman"/>
                <w:sz w:val="24"/>
                <w:szCs w:val="24"/>
                <w:lang w:val="en-US" w:eastAsia="zh-CN"/>
              </w:rPr>
              <w:t>10</w:t>
            </w:r>
            <w:r>
              <w:rPr>
                <w:rFonts w:hint="default" w:ascii="Times New Roman" w:hAnsi="Times New Roman" w:eastAsia="仿宋_GB2312" w:cs="Times New Roman"/>
                <w:sz w:val="24"/>
                <w:szCs w:val="24"/>
              </w:rPr>
              <w:t>分。</w:t>
            </w:r>
          </w:p>
        </w:tc>
      </w:tr>
      <w:tr>
        <w:tblPrEx>
          <w:tblCellMar>
            <w:top w:w="0" w:type="dxa"/>
            <w:left w:w="0" w:type="dxa"/>
            <w:bottom w:w="0" w:type="dxa"/>
            <w:right w:w="0" w:type="dxa"/>
          </w:tblCellMar>
        </w:tblPrEx>
        <w:trPr>
          <w:trHeight w:val="808" w:hRule="atLeast"/>
          <w:jc w:val="center"/>
        </w:trPr>
        <w:tc>
          <w:tcPr>
            <w:tcW w:w="65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val="en-US" w:eastAsia="zh-CN"/>
              </w:rPr>
              <w:t>9</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p>
        </w:tc>
        <w:tc>
          <w:tcPr>
            <w:tcW w:w="584"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lang w:val="en-US" w:eastAsia="zh-CN"/>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主动向住房和城乡建设主管部门报告招标投标活动中招标人、评标专家或者投标人等的违法行为，并查实的。</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1年</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18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eastAsia="zh-CN"/>
              </w:rPr>
              <w:t>最多加</w:t>
            </w:r>
            <w:r>
              <w:rPr>
                <w:rFonts w:hint="default" w:ascii="Times New Roman" w:hAnsi="Times New Roman" w:eastAsia="仿宋_GB2312" w:cs="Times New Roman"/>
                <w:sz w:val="24"/>
                <w:szCs w:val="24"/>
                <w:lang w:val="en-US" w:eastAsia="zh-CN"/>
              </w:rPr>
              <w:t>2分。</w:t>
            </w: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10</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p>
        </w:tc>
        <w:tc>
          <w:tcPr>
            <w:tcW w:w="584" w:type="dxa"/>
            <w:vMerge w:val="restart"/>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人员素质</w:t>
            </w: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具备工程建设类注册执业资格或工程建设类中级（含）以上职称的在洛从业人员。</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聘期内长</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期公开</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val="en-US" w:eastAsia="zh-CN"/>
              </w:rPr>
              <w:t>3</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每人加1分，最多加3分。</w:t>
            </w:r>
          </w:p>
        </w:tc>
      </w:tr>
      <w:tr>
        <w:tblPrEx>
          <w:tblCellMar>
            <w:top w:w="0" w:type="dxa"/>
            <w:left w:w="0" w:type="dxa"/>
            <w:bottom w:w="0" w:type="dxa"/>
            <w:right w:w="0" w:type="dxa"/>
          </w:tblCellMar>
        </w:tblPrEx>
        <w:trPr>
          <w:trHeight w:val="1096"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11</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p>
        </w:tc>
        <w:tc>
          <w:tcPr>
            <w:tcW w:w="584"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在洛从业人员积极参与住房和城乡建设主管部门或者相关行业协会组织的不少于10个学时招标投标业务培训。</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3</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2</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eastAsia="zh-CN"/>
              </w:rPr>
              <w:t>招标代理机构</w:t>
            </w:r>
            <w:r>
              <w:rPr>
                <w:rFonts w:hint="default" w:ascii="Times New Roman" w:hAnsi="Times New Roman" w:eastAsia="仿宋_GB2312" w:cs="Times New Roman"/>
                <w:sz w:val="24"/>
                <w:szCs w:val="24"/>
              </w:rPr>
              <w:t>每参加1人加0.5分，最多加3分。</w:t>
            </w:r>
          </w:p>
        </w:tc>
      </w:tr>
      <w:tr>
        <w:tblPrEx>
          <w:tblCellMar>
            <w:top w:w="0" w:type="dxa"/>
            <w:left w:w="0" w:type="dxa"/>
            <w:bottom w:w="0" w:type="dxa"/>
            <w:right w:w="0" w:type="dxa"/>
          </w:tblCellMar>
        </w:tblPrEx>
        <w:trPr>
          <w:trHeight w:val="1114"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12</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p>
        </w:tc>
        <w:tc>
          <w:tcPr>
            <w:tcW w:w="584"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rPr>
              <w:t>在洛从业人员积极参与住房和城乡建设主管部门或者相关行业协会组织的招标投标业务</w:t>
            </w:r>
            <w:r>
              <w:rPr>
                <w:rFonts w:hint="default" w:ascii="Times New Roman" w:hAnsi="Times New Roman" w:eastAsia="仿宋_GB2312" w:cs="Times New Roman"/>
                <w:sz w:val="24"/>
                <w:szCs w:val="24"/>
                <w:lang w:eastAsia="zh-CN"/>
              </w:rPr>
              <w:t>能力测试，</w:t>
            </w:r>
            <w:r>
              <w:rPr>
                <w:rFonts w:hint="default" w:ascii="Times New Roman" w:hAnsi="Times New Roman" w:eastAsia="仿宋_GB2312" w:cs="Times New Roman"/>
                <w:sz w:val="24"/>
                <w:szCs w:val="24"/>
                <w:lang w:val="en-US" w:eastAsia="zh-CN"/>
              </w:rPr>
              <w:t>并合格。</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2</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eastAsia="zh-CN"/>
              </w:rPr>
              <w:t>招标代理机构</w:t>
            </w:r>
            <w:r>
              <w:rPr>
                <w:rFonts w:hint="default" w:ascii="Times New Roman" w:hAnsi="Times New Roman" w:eastAsia="仿宋_GB2312" w:cs="Times New Roman"/>
                <w:sz w:val="24"/>
                <w:szCs w:val="24"/>
              </w:rPr>
              <w:t>每参加1人加0.5分，最多加3分。</w:t>
            </w: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1</w:t>
            </w:r>
            <w:r>
              <w:rPr>
                <w:rFonts w:hint="default" w:ascii="Times New Roman" w:hAnsi="Times New Roman" w:eastAsia="仿宋_GB2312" w:cs="Times New Roman"/>
                <w:sz w:val="24"/>
                <w:szCs w:val="24"/>
                <w:lang w:val="en-US" w:eastAsia="zh-CN"/>
              </w:rPr>
              <w:t>3</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p>
        </w:tc>
        <w:tc>
          <w:tcPr>
            <w:tcW w:w="584"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社会贡献</w:t>
            </w: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积极参与抢险救灾、捐资助学、扶贫帮困活动，且被有关行政机关、</w:t>
            </w:r>
            <w:r>
              <w:rPr>
                <w:rFonts w:hint="default" w:ascii="Times New Roman" w:hAnsi="Times New Roman" w:eastAsia="仿宋_GB2312" w:cs="Times New Roman"/>
                <w:sz w:val="24"/>
                <w:szCs w:val="24"/>
                <w:lang w:eastAsia="zh-CN"/>
              </w:rPr>
              <w:t>社</w:t>
            </w:r>
            <w:r>
              <w:rPr>
                <w:rFonts w:hint="default" w:ascii="Times New Roman" w:hAnsi="Times New Roman" w:eastAsia="仿宋_GB2312" w:cs="Times New Roman"/>
                <w:sz w:val="24"/>
                <w:szCs w:val="24"/>
              </w:rPr>
              <w:t>团组织颁发证书、表彰、通报、接受证明的。</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18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eastAsia="zh-CN"/>
              </w:rPr>
              <w:t>捐赠应当不少于</w:t>
            </w:r>
            <w:r>
              <w:rPr>
                <w:rFonts w:hint="default" w:ascii="Times New Roman" w:hAnsi="Times New Roman" w:eastAsia="仿宋_GB2312" w:cs="Times New Roman"/>
                <w:sz w:val="24"/>
                <w:szCs w:val="24"/>
                <w:lang w:val="en-US" w:eastAsia="zh-CN"/>
              </w:rPr>
              <w:t>1000（含）元，</w:t>
            </w:r>
            <w:r>
              <w:rPr>
                <w:rFonts w:hint="default" w:ascii="Times New Roman" w:hAnsi="Times New Roman" w:eastAsia="仿宋_GB2312" w:cs="Times New Roman"/>
                <w:sz w:val="24"/>
                <w:szCs w:val="24"/>
                <w:lang w:eastAsia="zh-CN"/>
              </w:rPr>
              <w:t>最多加</w:t>
            </w:r>
            <w:r>
              <w:rPr>
                <w:rFonts w:hint="default" w:ascii="Times New Roman" w:hAnsi="Times New Roman" w:eastAsia="仿宋_GB2312" w:cs="Times New Roman"/>
                <w:sz w:val="24"/>
                <w:szCs w:val="24"/>
                <w:lang w:val="en-US" w:eastAsia="zh-CN"/>
              </w:rPr>
              <w:t>2分。</w:t>
            </w:r>
          </w:p>
        </w:tc>
      </w:tr>
      <w:tr>
        <w:tblPrEx>
          <w:tblCellMar>
            <w:top w:w="0" w:type="dxa"/>
            <w:left w:w="0" w:type="dxa"/>
            <w:bottom w:w="0" w:type="dxa"/>
            <w:right w:w="0" w:type="dxa"/>
          </w:tblCellMar>
        </w:tblPrEx>
        <w:trPr>
          <w:trHeight w:val="1622"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1</w:t>
            </w:r>
            <w:r>
              <w:rPr>
                <w:rFonts w:hint="default" w:ascii="Times New Roman" w:hAnsi="Times New Roman" w:eastAsia="仿宋_GB2312" w:cs="Times New Roman"/>
                <w:sz w:val="24"/>
                <w:szCs w:val="24"/>
                <w:lang w:val="en-US" w:eastAsia="zh-CN"/>
              </w:rPr>
              <w:t>4</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p>
        </w:tc>
        <w:tc>
          <w:tcPr>
            <w:tcW w:w="5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扶持小微企业政策</w:t>
            </w: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招标代理机构为小微企业。</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长期公开</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18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不满足小微企业条件的，应及时在</w:t>
            </w:r>
            <w:r>
              <w:rPr>
                <w:rFonts w:hint="default" w:ascii="Times New Roman" w:hAnsi="Times New Roman" w:eastAsia="仿宋_GB2312" w:cs="Times New Roman"/>
                <w:sz w:val="24"/>
                <w:szCs w:val="24"/>
                <w:lang w:eastAsia="zh-CN"/>
              </w:rPr>
              <w:t>信息系统</w:t>
            </w:r>
            <w:r>
              <w:rPr>
                <w:rFonts w:hint="default" w:ascii="Times New Roman" w:hAnsi="Times New Roman" w:eastAsia="仿宋_GB2312" w:cs="Times New Roman"/>
                <w:sz w:val="24"/>
                <w:szCs w:val="24"/>
              </w:rPr>
              <w:t>变更相关信息。</w:t>
            </w:r>
          </w:p>
        </w:tc>
      </w:tr>
      <w:tr>
        <w:tblPrEx>
          <w:tblCellMar>
            <w:top w:w="0" w:type="dxa"/>
            <w:left w:w="0" w:type="dxa"/>
            <w:bottom w:w="0" w:type="dxa"/>
            <w:right w:w="0" w:type="dxa"/>
          </w:tblCellMar>
        </w:tblPrEx>
        <w:trPr>
          <w:trHeight w:val="568"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15</w:t>
            </w:r>
          </w:p>
        </w:tc>
        <w:tc>
          <w:tcPr>
            <w:tcW w:w="585" w:type="dxa"/>
            <w:vMerge w:val="restart"/>
            <w:tcBorders>
              <w:top w:val="single" w:color="auto" w:sz="4" w:space="0"/>
              <w:left w:val="single" w:color="000000"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不良行为</w:t>
            </w: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Style w:val="3"/>
              <w:pageBreakBefore w:val="0"/>
              <w:widowControl w:val="0"/>
              <w:kinsoku/>
              <w:wordWrap/>
              <w:overflowPunct/>
              <w:topLinePunct w:val="0"/>
              <w:autoSpaceDE/>
              <w:autoSpaceDN/>
              <w:bidi w:val="0"/>
              <w:adjustRightInd/>
              <w:snapToGrid/>
              <w:spacing w:line="260" w:lineRule="exact"/>
              <w:textAlignment w:val="auto"/>
              <w:rPr>
                <w:rFonts w:hint="default"/>
              </w:rPr>
            </w:pPr>
          </w:p>
          <w:p>
            <w:pPr>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sz w:val="24"/>
                <w:szCs w:val="24"/>
              </w:rPr>
            </w:pPr>
          </w:p>
          <w:p>
            <w:pPr>
              <w:pStyle w:val="3"/>
              <w:pageBreakBefore w:val="0"/>
              <w:widowControl w:val="0"/>
              <w:kinsoku/>
              <w:wordWrap/>
              <w:overflowPunct/>
              <w:topLinePunct w:val="0"/>
              <w:autoSpaceDE/>
              <w:autoSpaceDN/>
              <w:bidi w:val="0"/>
              <w:adjustRightInd/>
              <w:snapToGrid/>
              <w:spacing w:line="260" w:lineRule="exact"/>
              <w:textAlignment w:val="auto"/>
              <w:rPr>
                <w:rFonts w:hint="default"/>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不良行为</w:t>
            </w: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Style w:val="3"/>
              <w:pageBreakBefore w:val="0"/>
              <w:widowControl w:val="0"/>
              <w:kinsoku/>
              <w:wordWrap/>
              <w:overflowPunct/>
              <w:topLinePunct w:val="0"/>
              <w:autoSpaceDE/>
              <w:autoSpaceDN/>
              <w:bidi w:val="0"/>
              <w:adjustRightInd/>
              <w:snapToGrid/>
              <w:spacing w:line="300" w:lineRule="exact"/>
              <w:textAlignment w:val="auto"/>
              <w:rPr>
                <w:rFonts w:hint="default"/>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Style w:val="3"/>
              <w:pageBreakBefore w:val="0"/>
              <w:widowControl w:val="0"/>
              <w:kinsoku/>
              <w:wordWrap/>
              <w:overflowPunct/>
              <w:topLinePunct w:val="0"/>
              <w:autoSpaceDE/>
              <w:autoSpaceDN/>
              <w:bidi w:val="0"/>
              <w:adjustRightInd/>
              <w:snapToGrid/>
              <w:spacing w:line="280" w:lineRule="exact"/>
              <w:textAlignment w:val="auto"/>
              <w:rPr>
                <w:rFonts w:hint="default"/>
              </w:rPr>
            </w:pPr>
          </w:p>
          <w:p>
            <w:pPr>
              <w:pStyle w:val="3"/>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sz w:val="24"/>
                <w:szCs w:val="24"/>
              </w:rPr>
            </w:pPr>
          </w:p>
          <w:p>
            <w:pPr>
              <w:pStyle w:val="3"/>
              <w:pageBreakBefore w:val="0"/>
              <w:widowControl w:val="0"/>
              <w:kinsoku/>
              <w:wordWrap/>
              <w:overflowPunct/>
              <w:topLinePunct w:val="0"/>
              <w:autoSpaceDE/>
              <w:autoSpaceDN/>
              <w:bidi w:val="0"/>
              <w:adjustRightInd/>
              <w:snapToGrid/>
              <w:spacing w:line="280" w:lineRule="exact"/>
              <w:textAlignment w:val="auto"/>
              <w:rPr>
                <w:rFonts w:hint="default"/>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不良行为</w:t>
            </w: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p>
          <w:p>
            <w:pPr>
              <w:pStyle w:val="3"/>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仿宋_GB2312" w:cs="Times New Roman"/>
                <w:sz w:val="24"/>
                <w:szCs w:val="24"/>
                <w:lang w:eastAsia="zh-CN"/>
              </w:rPr>
            </w:pPr>
          </w:p>
          <w:p>
            <w:pPr>
              <w:pageBreakBefore w:val="0"/>
              <w:widowControl w:val="0"/>
              <w:kinsoku/>
              <w:wordWrap/>
              <w:overflowPunct/>
              <w:topLinePunct w:val="0"/>
              <w:autoSpaceDE/>
              <w:autoSpaceDN/>
              <w:bidi w:val="0"/>
              <w:adjustRightInd/>
              <w:snapToGrid/>
              <w:spacing w:line="300" w:lineRule="exact"/>
              <w:textAlignment w:val="auto"/>
              <w:rPr>
                <w:rFonts w:hint="default"/>
                <w:lang w:eastAsia="zh-CN"/>
              </w:rPr>
            </w:pPr>
          </w:p>
          <w:p>
            <w:pPr>
              <w:pStyle w:val="3"/>
              <w:pageBreakBefore w:val="0"/>
              <w:widowControl w:val="0"/>
              <w:kinsoku/>
              <w:wordWrap/>
              <w:overflowPunct/>
              <w:topLinePunct w:val="0"/>
              <w:autoSpaceDE/>
              <w:autoSpaceDN/>
              <w:bidi w:val="0"/>
              <w:adjustRightInd/>
              <w:snapToGrid/>
              <w:spacing w:line="300" w:lineRule="exact"/>
              <w:textAlignment w:val="auto"/>
              <w:rPr>
                <w:rFonts w:hint="default"/>
                <w:lang w:eastAsia="zh-CN"/>
              </w:rPr>
            </w:pPr>
          </w:p>
          <w:p>
            <w:pPr>
              <w:pageBreakBefore w:val="0"/>
              <w:widowControl w:val="0"/>
              <w:kinsoku/>
              <w:wordWrap/>
              <w:overflowPunct/>
              <w:topLinePunct w:val="0"/>
              <w:autoSpaceDE/>
              <w:autoSpaceDN/>
              <w:bidi w:val="0"/>
              <w:adjustRightInd/>
              <w:snapToGrid/>
              <w:spacing w:line="300" w:lineRule="exact"/>
              <w:textAlignment w:val="auto"/>
              <w:rPr>
                <w:rFonts w:hint="default"/>
                <w:lang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不良</w:t>
            </w: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行为</w:t>
            </w: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4"/>
                <w:szCs w:val="24"/>
                <w:lang w:eastAsia="zh-CN"/>
              </w:rPr>
            </w:pP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4"/>
                <w:szCs w:val="24"/>
                <w:lang w:eastAsia="zh-CN"/>
              </w:rPr>
            </w:pP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sz w:val="24"/>
                <w:szCs w:val="24"/>
                <w:lang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不良行为</w:t>
            </w: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sz w:val="24"/>
                <w:szCs w:val="24"/>
              </w:rPr>
            </w:pP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sz w:val="24"/>
                <w:szCs w:val="24"/>
              </w:rPr>
            </w:pP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不良行为</w:t>
            </w: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Style w:val="3"/>
              <w:rPr>
                <w:rFonts w:hint="default" w:ascii="Times New Roman" w:hAnsi="Times New Roman" w:eastAsia="仿宋_GB2312" w:cs="Times New Roman"/>
                <w:sz w:val="24"/>
                <w:szCs w:val="24"/>
              </w:rPr>
            </w:pPr>
          </w:p>
          <w:p>
            <w:pPr>
              <w:rPr>
                <w:rFonts w:hint="default" w:ascii="Times New Roman" w:hAnsi="Times New Roman" w:eastAsia="仿宋_GB2312" w:cs="Times New Roman"/>
                <w:sz w:val="24"/>
                <w:szCs w:val="24"/>
              </w:rPr>
            </w:pPr>
          </w:p>
          <w:p>
            <w:pPr>
              <w:pStyle w:val="3"/>
              <w:rPr>
                <w:rFonts w:hint="default"/>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不良行为</w:t>
            </w: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val="en-US"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val="en-US"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val="en-US"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val="en-US"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val="en-US"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val="en-US"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val="en-US"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val="en-US"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val="en-US"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val="en-US"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val="en-US"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val="en-US"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val="en-US"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val="en-US"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val="en-US" w:eastAsia="zh-CN"/>
              </w:rPr>
            </w:pPr>
          </w:p>
          <w:p>
            <w:pPr>
              <w:pageBreakBefore w:val="0"/>
              <w:widowControl w:val="0"/>
              <w:kinsoku/>
              <w:wordWrap/>
              <w:overflowPunct/>
              <w:topLinePunct w:val="0"/>
              <w:autoSpaceDE/>
              <w:autoSpaceDN/>
              <w:bidi w:val="0"/>
              <w:adjustRightInd/>
              <w:snapToGrid/>
              <w:spacing w:line="300" w:lineRule="exact"/>
              <w:jc w:val="both"/>
              <w:textAlignment w:val="auto"/>
              <w:rPr>
                <w:rFonts w:hint="default" w:ascii="Times New Roman" w:hAnsi="Times New Roman" w:eastAsia="仿宋_GB2312" w:cs="Times New Roman"/>
                <w:sz w:val="24"/>
                <w:szCs w:val="24"/>
                <w:lang w:val="en-US" w:eastAsia="zh-CN"/>
              </w:rPr>
            </w:pPr>
          </w:p>
          <w:p>
            <w:pPr>
              <w:pStyle w:val="3"/>
              <w:rPr>
                <w:rFonts w:hint="default"/>
                <w:lang w:val="en-US"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val="en-US"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val="en-US"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不良行为</w:t>
            </w: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val="en-US" w:eastAsia="zh-CN"/>
              </w:rPr>
            </w:pPr>
          </w:p>
          <w:p>
            <w:pPr>
              <w:pStyle w:val="3"/>
              <w:rPr>
                <w:rFonts w:hint="default" w:ascii="Times New Roman" w:hAnsi="Times New Roman" w:eastAsia="仿宋_GB2312" w:cs="Times New Roman"/>
                <w:sz w:val="24"/>
                <w:szCs w:val="24"/>
                <w:lang w:val="en-US" w:eastAsia="zh-CN"/>
              </w:rPr>
            </w:pPr>
          </w:p>
          <w:p>
            <w:pPr>
              <w:rPr>
                <w:rFonts w:hint="default" w:ascii="Times New Roman" w:hAnsi="Times New Roman" w:eastAsia="仿宋_GB2312" w:cs="Times New Roman"/>
                <w:sz w:val="24"/>
                <w:szCs w:val="24"/>
                <w:lang w:val="en-US" w:eastAsia="zh-CN"/>
              </w:rPr>
            </w:pPr>
          </w:p>
          <w:p>
            <w:pPr>
              <w:pStyle w:val="3"/>
              <w:rPr>
                <w:rFonts w:hint="default" w:ascii="Times New Roman" w:hAnsi="Times New Roman" w:eastAsia="仿宋_GB2312" w:cs="Times New Roman"/>
                <w:sz w:val="24"/>
                <w:szCs w:val="24"/>
                <w:lang w:val="en-US" w:eastAsia="zh-CN"/>
              </w:rPr>
            </w:pPr>
          </w:p>
          <w:p>
            <w:pPr>
              <w:rPr>
                <w:rFonts w:hint="default" w:ascii="Times New Roman" w:hAnsi="Times New Roman" w:eastAsia="仿宋_GB2312" w:cs="Times New Roman"/>
                <w:sz w:val="24"/>
                <w:szCs w:val="24"/>
                <w:lang w:val="en-US" w:eastAsia="zh-CN"/>
              </w:rPr>
            </w:pPr>
          </w:p>
          <w:p>
            <w:pPr>
              <w:pStyle w:val="3"/>
              <w:pageBreakBefore w:val="0"/>
              <w:widowControl w:val="0"/>
              <w:kinsoku/>
              <w:wordWrap/>
              <w:overflowPunct/>
              <w:topLinePunct w:val="0"/>
              <w:autoSpaceDE/>
              <w:autoSpaceDN/>
              <w:bidi w:val="0"/>
              <w:adjustRightInd/>
              <w:snapToGrid/>
              <w:spacing w:line="240" w:lineRule="exact"/>
              <w:textAlignment w:val="auto"/>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lang w:val="en-US" w:eastAsia="zh-CN"/>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不良行为</w:t>
            </w:r>
          </w:p>
        </w:tc>
        <w:tc>
          <w:tcPr>
            <w:tcW w:w="584"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司法制裁</w:t>
            </w: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因工程建设项目招标代理业务中的违法行为被追究刑事责任。</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1年</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20</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20</w:t>
            </w:r>
            <w:r>
              <w:rPr>
                <w:rFonts w:hint="default" w:ascii="Times New Roman" w:hAnsi="Times New Roman" w:eastAsia="仿宋_GB2312" w:cs="Times New Roman"/>
                <w:sz w:val="24"/>
                <w:szCs w:val="24"/>
                <w:lang w:val="en-US" w:eastAsia="zh-CN"/>
              </w:rPr>
              <w:t>/次</w:t>
            </w:r>
          </w:p>
        </w:tc>
        <w:tc>
          <w:tcPr>
            <w:tcW w:w="1800" w:type="dxa"/>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招标代理机构主动申报的，按评价标准扣分；不主动申报的，按评价标准的扣分值加倍扣分。</w:t>
            </w:r>
          </w:p>
        </w:tc>
      </w:tr>
      <w:tr>
        <w:tblPrEx>
          <w:tblCellMar>
            <w:top w:w="0" w:type="dxa"/>
            <w:left w:w="0" w:type="dxa"/>
            <w:bottom w:w="0" w:type="dxa"/>
            <w:right w:w="0" w:type="dxa"/>
          </w:tblCellMar>
        </w:tblPrEx>
        <w:trPr>
          <w:trHeight w:val="864" w:hRule="atLeast"/>
          <w:jc w:val="center"/>
        </w:trPr>
        <w:tc>
          <w:tcPr>
            <w:tcW w:w="65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1</w:t>
            </w:r>
            <w:r>
              <w:rPr>
                <w:rFonts w:hint="default" w:ascii="Times New Roman" w:hAnsi="Times New Roman" w:eastAsia="仿宋_GB2312" w:cs="Times New Roman"/>
                <w:sz w:val="24"/>
                <w:szCs w:val="24"/>
                <w:lang w:val="en-US" w:eastAsia="zh-CN"/>
              </w:rPr>
              <w:t>6</w:t>
            </w:r>
          </w:p>
        </w:tc>
        <w:tc>
          <w:tcPr>
            <w:tcW w:w="585" w:type="dxa"/>
            <w:vMerge w:val="continue"/>
            <w:tcBorders>
              <w:left w:val="single" w:color="000000"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584"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招标代理机构被列为失信被执行人、聘用被列为失信被执行人的从业人员或者从业人员被列为失信被执行人后未按规定进行处理。</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1年</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20</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1800" w:type="dxa"/>
            <w:vMerge w:val="continue"/>
            <w:tcBorders>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567" w:hRule="atLeast"/>
          <w:jc w:val="center"/>
        </w:trPr>
        <w:tc>
          <w:tcPr>
            <w:tcW w:w="65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1</w:t>
            </w:r>
            <w:r>
              <w:rPr>
                <w:rFonts w:hint="default" w:ascii="Times New Roman" w:hAnsi="Times New Roman" w:eastAsia="仿宋_GB2312" w:cs="Times New Roman"/>
                <w:sz w:val="24"/>
                <w:szCs w:val="24"/>
                <w:lang w:val="en-US" w:eastAsia="zh-CN"/>
              </w:rPr>
              <w:t>7</w:t>
            </w:r>
          </w:p>
        </w:tc>
        <w:tc>
          <w:tcPr>
            <w:tcW w:w="585" w:type="dxa"/>
            <w:vMerge w:val="continue"/>
            <w:tcBorders>
              <w:left w:val="single" w:color="000000"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584"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行政处罚</w:t>
            </w: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因招标代理业务中的违法行为受到</w:t>
            </w:r>
            <w:r>
              <w:rPr>
                <w:rFonts w:hint="default" w:ascii="Times New Roman" w:hAnsi="Times New Roman" w:eastAsia="仿宋_GB2312" w:cs="Times New Roman"/>
                <w:sz w:val="24"/>
                <w:szCs w:val="24"/>
                <w:lang w:eastAsia="zh-CN"/>
              </w:rPr>
              <w:t>有关行政主管</w:t>
            </w:r>
            <w:r>
              <w:rPr>
                <w:rFonts w:hint="default" w:ascii="Times New Roman" w:hAnsi="Times New Roman" w:eastAsia="仿宋_GB2312" w:cs="Times New Roman"/>
                <w:sz w:val="24"/>
                <w:szCs w:val="24"/>
              </w:rPr>
              <w:t>部门行政处罚，或者因招标代理机构原因，致使招标人受到</w:t>
            </w:r>
            <w:r>
              <w:rPr>
                <w:rFonts w:hint="default" w:ascii="Times New Roman" w:hAnsi="Times New Roman" w:eastAsia="仿宋_GB2312" w:cs="Times New Roman"/>
                <w:sz w:val="24"/>
                <w:szCs w:val="24"/>
                <w:lang w:eastAsia="zh-CN"/>
              </w:rPr>
              <w:t>有关行政主管</w:t>
            </w:r>
            <w:r>
              <w:rPr>
                <w:rFonts w:hint="default" w:ascii="Times New Roman" w:hAnsi="Times New Roman" w:eastAsia="仿宋_GB2312" w:cs="Times New Roman"/>
                <w:sz w:val="24"/>
                <w:szCs w:val="24"/>
              </w:rPr>
              <w:t>部门行政处罚。</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1年</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20</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18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18</w:t>
            </w:r>
          </w:p>
        </w:tc>
        <w:tc>
          <w:tcPr>
            <w:tcW w:w="585" w:type="dxa"/>
            <w:vMerge w:val="continue"/>
            <w:tcBorders>
              <w:left w:val="single" w:color="000000"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584"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拒不依法履行住房和城乡建设主管部门做出的行政处罚。</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1年</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10</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18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19</w:t>
            </w:r>
          </w:p>
        </w:tc>
        <w:tc>
          <w:tcPr>
            <w:tcW w:w="585" w:type="dxa"/>
            <w:vMerge w:val="continue"/>
            <w:tcBorders>
              <w:left w:val="single" w:color="000000"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584" w:type="dxa"/>
            <w:vMerge w:val="restart"/>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代理机构</w:t>
            </w:r>
            <w:r>
              <w:rPr>
                <w:rFonts w:hint="default" w:ascii="Times New Roman" w:hAnsi="Times New Roman" w:eastAsia="仿宋_GB2312" w:cs="Times New Roman"/>
                <w:sz w:val="24"/>
                <w:szCs w:val="24"/>
              </w:rPr>
              <w:br w:type="textWrapping"/>
            </w:r>
            <w:r>
              <w:rPr>
                <w:rFonts w:hint="default" w:ascii="Times New Roman" w:hAnsi="Times New Roman" w:eastAsia="仿宋_GB2312" w:cs="Times New Roman"/>
                <w:sz w:val="24"/>
                <w:szCs w:val="24"/>
              </w:rPr>
              <w:t>信息</w:t>
            </w: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机构信息或者从业人员信息发生变更的，未按要求对相关信息进行及时变更。</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20</w:t>
            </w:r>
          </w:p>
        </w:tc>
        <w:tc>
          <w:tcPr>
            <w:tcW w:w="585" w:type="dxa"/>
            <w:vMerge w:val="continue"/>
            <w:tcBorders>
              <w:left w:val="single" w:color="000000"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584" w:type="dxa"/>
            <w:vMerge w:val="continue"/>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填报的机构、从业人员信息存在虚假或不实信息。</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1年</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10</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21</w:t>
            </w:r>
          </w:p>
        </w:tc>
        <w:tc>
          <w:tcPr>
            <w:tcW w:w="585" w:type="dxa"/>
            <w:vMerge w:val="continue"/>
            <w:tcBorders>
              <w:left w:val="single" w:color="000000"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584" w:type="dxa"/>
            <w:vMerge w:val="continue"/>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招标代理机构不具备从事招标代理业务的营业场所或者相应资金。</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10</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18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22</w:t>
            </w:r>
          </w:p>
        </w:tc>
        <w:tc>
          <w:tcPr>
            <w:tcW w:w="585" w:type="dxa"/>
            <w:vMerge w:val="continue"/>
            <w:tcBorders>
              <w:left w:val="single" w:color="000000"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584" w:type="dxa"/>
            <w:vMerge w:val="continue"/>
            <w:tcBorders>
              <w:top w:val="single" w:color="000000" w:sz="4" w:space="0"/>
              <w:left w:val="single" w:color="000000" w:sz="4" w:space="0"/>
              <w:bottom w:val="single" w:color="auto" w:sz="4" w:space="0"/>
              <w:right w:val="single" w:color="auto"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未配备与招标代理业务相适应的工程技术（或工程管理）和工程造价等专业的从业人员。</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18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auto"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23</w:t>
            </w:r>
          </w:p>
        </w:tc>
        <w:tc>
          <w:tcPr>
            <w:tcW w:w="585" w:type="dxa"/>
            <w:vMerge w:val="continue"/>
            <w:tcBorders>
              <w:left w:val="single" w:color="000000" w:sz="4" w:space="0"/>
              <w:bottom w:val="single" w:color="auto"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584" w:type="dxa"/>
            <w:vMerge w:val="continue"/>
            <w:tcBorders>
              <w:top w:val="single" w:color="auto" w:sz="4" w:space="0"/>
              <w:left w:val="single" w:color="000000" w:sz="4" w:space="0"/>
              <w:bottom w:val="single" w:color="000000" w:sz="4" w:space="0"/>
              <w:right w:val="single" w:color="auto"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未建立完善的招标代理业务承接、质量管理、信息保密、档案管理及内部问责等管理制度。</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18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auto"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24</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584" w:type="dxa"/>
            <w:tcBorders>
              <w:top w:val="single" w:color="000000" w:sz="4" w:space="0"/>
              <w:left w:val="single" w:color="000000" w:sz="4" w:space="0"/>
              <w:bottom w:val="single" w:color="auto" w:sz="4" w:space="0"/>
              <w:right w:val="single" w:color="auto"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项目负责人信息</w:t>
            </w: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代理依法必须进行招标的项目，招标代理机构指派的项目负责人不具备工程建设类注册执业资格或中级（含）以上职称。</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24"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25</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58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业务承接</w:t>
            </w: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未经招标人书面同意，转让工程招标代理业务。</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1年</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20</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24"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26</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58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以其他企业名义或者允许其他企业或个人以本机构名义承接招标代理业务。</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1年</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20</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24"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27</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58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采用行贿、弄虚作假等不正当手段承接招标代理业务。</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1年</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20</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24"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28</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584" w:type="dxa"/>
            <w:vMerge w:val="continue"/>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在所代理的招标项目中投标或者代理投标或者为所代理的招标项目的投标人提供咨询</w:t>
            </w:r>
            <w:r>
              <w:rPr>
                <w:rFonts w:hint="default" w:ascii="Times New Roman" w:hAnsi="Times New Roman" w:eastAsia="仿宋_GB2312" w:cs="Times New Roman"/>
                <w:sz w:val="24"/>
                <w:szCs w:val="24"/>
                <w:lang w:eastAsia="zh-CN"/>
              </w:rPr>
              <w:t>，或者与所代理项目投标人存在隶属关系或者其他利害关系。</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1年</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20</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20</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24"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29</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584" w:type="dxa"/>
            <w:vMerge w:val="restart"/>
            <w:tcBorders>
              <w:top w:val="single" w:color="auto" w:sz="4" w:space="0"/>
              <w:left w:val="single" w:color="000000"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业务承接</w:t>
            </w: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为尚不具备招标条件的招标项目开展招标活动、为已实施的项目进行代理招标或者明知委托事项违法而进行代理。</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1年</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10</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10</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567"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30</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58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以低于成本恶意竞争承揽业务。</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567"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31</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584"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签订代理合同</w:t>
            </w: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承接招标代理业务</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未与招标人签订招标代理合同。</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567"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32</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584" w:type="dxa"/>
            <w:vMerge w:val="continue"/>
            <w:tcBorders>
              <w:left w:val="single" w:color="000000"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招标代理合同未明确项目负责人或者项目组成员。</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567"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33</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584" w:type="dxa"/>
            <w:vMerge w:val="continue"/>
            <w:tcBorders>
              <w:left w:val="single" w:color="000000" w:sz="4" w:space="0"/>
              <w:bottom w:val="single" w:color="auto"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招标代理合同</w:t>
            </w:r>
            <w:r>
              <w:rPr>
                <w:rFonts w:hint="default" w:ascii="Times New Roman" w:hAnsi="Times New Roman" w:eastAsia="仿宋_GB2312" w:cs="Times New Roman"/>
                <w:sz w:val="24"/>
                <w:szCs w:val="24"/>
                <w:lang w:eastAsia="zh-CN"/>
              </w:rPr>
              <w:t>（招标文件）</w:t>
            </w:r>
            <w:r>
              <w:rPr>
                <w:rFonts w:hint="default" w:ascii="Times New Roman" w:hAnsi="Times New Roman" w:eastAsia="仿宋_GB2312" w:cs="Times New Roman"/>
                <w:sz w:val="24"/>
                <w:szCs w:val="24"/>
              </w:rPr>
              <w:t>未明确招标代理费用金额或者计费标准。</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34</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584" w:type="dxa"/>
            <w:vMerge w:val="restart"/>
            <w:tcBorders>
              <w:top w:val="single" w:color="auto" w:sz="4" w:space="0"/>
              <w:left w:val="single" w:color="000000"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招标</w:t>
            </w:r>
            <w:r>
              <w:rPr>
                <w:rFonts w:hint="default" w:ascii="Times New Roman" w:hAnsi="Times New Roman" w:eastAsia="仿宋_GB2312" w:cs="Times New Roman"/>
                <w:sz w:val="24"/>
                <w:szCs w:val="24"/>
              </w:rPr>
              <w:br w:type="textWrapping"/>
            </w:r>
            <w:r>
              <w:rPr>
                <w:rFonts w:hint="default" w:ascii="Times New Roman" w:hAnsi="Times New Roman" w:eastAsia="仿宋_GB2312" w:cs="Times New Roman"/>
                <w:sz w:val="24"/>
                <w:szCs w:val="24"/>
              </w:rPr>
              <w:t>准备</w:t>
            </w: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代理依法必须进行招标的项目，</w:t>
            </w:r>
            <w:r>
              <w:rPr>
                <w:rFonts w:hint="default" w:ascii="Times New Roman" w:hAnsi="Times New Roman" w:eastAsia="仿宋_GB2312" w:cs="Times New Roman"/>
                <w:sz w:val="24"/>
                <w:szCs w:val="24"/>
                <w:lang w:eastAsia="zh-CN"/>
              </w:rPr>
              <w:t>未</w:t>
            </w:r>
            <w:r>
              <w:rPr>
                <w:rFonts w:hint="default" w:ascii="Times New Roman" w:hAnsi="Times New Roman" w:eastAsia="仿宋_GB2312" w:cs="Times New Roman"/>
                <w:sz w:val="24"/>
                <w:szCs w:val="24"/>
              </w:rPr>
              <w:t>进入公共资源交易平台开展招标投标活动。</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35</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584" w:type="dxa"/>
            <w:vMerge w:val="continue"/>
            <w:tcBorders>
              <w:left w:val="single" w:color="000000"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eastAsia="zh-CN"/>
              </w:rPr>
              <w:t>未按规定发布招标计划或者发布的招标计划存在错漏之处。</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3个月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36</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584" w:type="dxa"/>
            <w:vMerge w:val="continue"/>
            <w:tcBorders>
              <w:left w:val="single" w:color="000000"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代理依法必须进行招标的房屋建筑和市政基础设施工程项目，未选择住房和城乡建设部门为监督部门。</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37</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val="en-US" w:eastAsia="zh-CN"/>
              </w:rPr>
            </w:pPr>
          </w:p>
        </w:tc>
        <w:tc>
          <w:tcPr>
            <w:tcW w:w="584" w:type="dxa"/>
            <w:vMerge w:val="continue"/>
            <w:tcBorders>
              <w:left w:val="single" w:color="000000"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lang w:val="en-US" w:eastAsia="zh-CN"/>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招标项目需要划分标段、确定工期的，划分的标段或者确定的工期不合理。</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38</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584" w:type="dxa"/>
            <w:vMerge w:val="continue"/>
            <w:tcBorders>
              <w:left w:val="single" w:color="000000"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将依法必须进行招标的项目化整为零或者以其他任何方式规避招标。</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1年</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10</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10</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39</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584" w:type="dxa"/>
            <w:vMerge w:val="continue"/>
            <w:tcBorders>
              <w:left w:val="single" w:color="000000"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将一个单位工程肢解成若干部分进行招标。</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1年</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10</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10</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40</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tc>
        <w:tc>
          <w:tcPr>
            <w:tcW w:w="584" w:type="dxa"/>
            <w:vMerge w:val="restart"/>
            <w:tcBorders>
              <w:top w:val="single" w:color="auto" w:sz="4" w:space="0"/>
              <w:left w:val="single" w:color="000000" w:sz="4" w:space="0"/>
              <w:right w:val="single" w:color="auto"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招标</w:t>
            </w: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Style w:val="3"/>
              <w:pageBreakBefore w:val="0"/>
              <w:widowControl w:val="0"/>
              <w:kinsoku/>
              <w:wordWrap/>
              <w:overflowPunct/>
              <w:topLinePunct w:val="0"/>
              <w:autoSpaceDE/>
              <w:autoSpaceDN/>
              <w:bidi w:val="0"/>
              <w:adjustRightInd/>
              <w:snapToGrid/>
              <w:spacing w:line="300" w:lineRule="exact"/>
              <w:jc w:val="center"/>
              <w:textAlignment w:val="auto"/>
              <w:rPr>
                <w:rFonts w:hint="default"/>
              </w:rPr>
            </w:pP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rPr>
            </w:pPr>
          </w:p>
          <w:p>
            <w:pPr>
              <w:pStyle w:val="3"/>
              <w:pageBreakBefore w:val="0"/>
              <w:widowControl w:val="0"/>
              <w:kinsoku/>
              <w:wordWrap/>
              <w:overflowPunct/>
              <w:topLinePunct w:val="0"/>
              <w:autoSpaceDE/>
              <w:autoSpaceDN/>
              <w:bidi w:val="0"/>
              <w:adjustRightInd/>
              <w:snapToGrid/>
              <w:spacing w:line="240" w:lineRule="exact"/>
              <w:textAlignment w:val="auto"/>
              <w:rPr>
                <w:rFonts w:hint="default"/>
              </w:rPr>
            </w:pPr>
          </w:p>
          <w:p>
            <w:pPr>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招标</w:t>
            </w: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keepNext w:val="0"/>
              <w:keepLines w:val="0"/>
              <w:pageBreakBefore w:val="0"/>
              <w:widowControl w:val="0"/>
              <w:kinsoku/>
              <w:wordWrap/>
              <w:overflowPunct/>
              <w:topLinePunct w:val="0"/>
              <w:autoSpaceDE/>
              <w:autoSpaceDN/>
              <w:bidi w:val="0"/>
              <w:adjustRightInd/>
              <w:snapToGrid/>
              <w:spacing w:line="384" w:lineRule="auto"/>
              <w:jc w:val="both"/>
              <w:textAlignment w:val="auto"/>
              <w:rPr>
                <w:rFonts w:hint="default" w:ascii="Times New Roman" w:hAnsi="Times New Roman" w:eastAsia="仿宋_GB2312" w:cs="Times New Roman"/>
                <w:sz w:val="24"/>
                <w:szCs w:val="24"/>
              </w:rPr>
            </w:pPr>
          </w:p>
          <w:p>
            <w:pPr>
              <w:keepNext w:val="0"/>
              <w:keepLines w:val="0"/>
              <w:pageBreakBefore w:val="0"/>
              <w:widowControl w:val="0"/>
              <w:kinsoku/>
              <w:wordWrap/>
              <w:overflowPunct/>
              <w:topLinePunct w:val="0"/>
              <w:autoSpaceDE/>
              <w:autoSpaceDN/>
              <w:bidi w:val="0"/>
              <w:adjustRightInd/>
              <w:snapToGrid/>
              <w:spacing w:line="384" w:lineRule="auto"/>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招标</w:t>
            </w: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未使用标准招标文件范本编制招标文件。</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41</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left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未对编制的招标文件进行内部审核、签字。</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42</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left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招标文件未</w:t>
            </w:r>
            <w:r>
              <w:rPr>
                <w:rFonts w:hint="default" w:ascii="Times New Roman" w:hAnsi="Times New Roman" w:eastAsia="仿宋_GB2312" w:cs="Times New Roman"/>
                <w:sz w:val="24"/>
                <w:szCs w:val="24"/>
                <w:lang w:eastAsia="zh-CN"/>
              </w:rPr>
              <w:t>按规定</w:t>
            </w:r>
            <w:r>
              <w:rPr>
                <w:rFonts w:hint="default" w:ascii="Times New Roman" w:hAnsi="Times New Roman" w:eastAsia="仿宋_GB2312" w:cs="Times New Roman"/>
                <w:sz w:val="24"/>
                <w:szCs w:val="24"/>
              </w:rPr>
              <w:t>明确投标文件雷同性认定与处理方法。</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val="en-US" w:eastAsia="zh-CN"/>
              </w:rPr>
              <w:t>43</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left w:val="single" w:color="000000" w:sz="4" w:space="0"/>
              <w:bottom w:val="single" w:color="auto"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不同媒介发布的公告或者公示内容不一致，或者发布的招标公告相关内容与招标文件相关内容不一致。</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p>
        </w:tc>
      </w:tr>
      <w:tr>
        <w:tblPrEx>
          <w:tblCellMar>
            <w:top w:w="0" w:type="dxa"/>
            <w:left w:w="0" w:type="dxa"/>
            <w:bottom w:w="0" w:type="dxa"/>
            <w:right w:w="0" w:type="dxa"/>
          </w:tblCellMar>
        </w:tblPrEx>
        <w:trPr>
          <w:trHeight w:val="755"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4</w:t>
            </w:r>
            <w:r>
              <w:rPr>
                <w:rFonts w:hint="default" w:ascii="Times New Roman" w:hAnsi="Times New Roman" w:eastAsia="仿宋_GB2312" w:cs="Times New Roman"/>
                <w:sz w:val="24"/>
                <w:szCs w:val="24"/>
                <w:lang w:val="en-US" w:eastAsia="zh-CN"/>
              </w:rPr>
              <w:t>4</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eastAsia="zh-CN"/>
              </w:rPr>
              <w:t>招标文件（资格预审文件）中设置项目经理、技术负责人、监理工程师等人员社会保险缴纳时长限制条件的。</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771"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45</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招标文件（资格预审文件）设定与招标项目的具体特点和实际需要不相适应或者与合同履行无关资格、技术、商务条件或者业绩、奖项要求。</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771"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val="en-US" w:eastAsia="zh-CN"/>
              </w:rPr>
              <w:t>46</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rPr>
              <w:t>施工总承包和工程总承包招标项目的招标文件中未明确计价中的风险内容及其范围，采用无限风险、所有风险或类似语句规定计价中的风险内容及范围。</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737"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rPr>
              <w:t>4</w:t>
            </w:r>
            <w:r>
              <w:rPr>
                <w:rFonts w:hint="default" w:ascii="Times New Roman" w:hAnsi="Times New Roman" w:eastAsia="仿宋_GB2312" w:cs="Times New Roman"/>
                <w:sz w:val="24"/>
                <w:szCs w:val="24"/>
                <w:lang w:val="en-US" w:eastAsia="zh-CN"/>
              </w:rPr>
              <w:t>7</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国家对招标项目的技术、标准有规定的，未在招标文件中提出相应要求；或者未将强制性安全、质量标准等作为招标文件的实质性要求和条件。</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737"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4</w:t>
            </w:r>
            <w:r>
              <w:rPr>
                <w:rFonts w:hint="default" w:ascii="Times New Roman" w:hAnsi="Times New Roman" w:eastAsia="仿宋_GB2312" w:cs="Times New Roman"/>
                <w:sz w:val="24"/>
                <w:szCs w:val="24"/>
                <w:lang w:val="en-US" w:eastAsia="zh-CN"/>
              </w:rPr>
              <w:t>8</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招标项目涉及危大工程的，施工招标文件中未列出危大工程清单或未要求投标单位在投标时补充完善危大工程清单并明确相应的安全管理措施。</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737"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49</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代理依法必须进行招标的施工项目，未采用工程量清单招标或者未将工程量清单作为招标文件的组成部分。</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737"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50</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选用不相适应的评标办法，或者采用工程量清单招标的施工项目未使用工程量清单评标办法。</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737"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51</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招标文件中含有违反国家对投标保证金、履约保证金、最低投标限价、最高投标限价、工程质量保证金或农民工工资保证金、投标有效期等规定的内容。</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767"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52</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实施电子招投标，招标文件</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资格预审文件</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收取费用的。</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785"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53</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eastAsia="zh-CN"/>
              </w:rPr>
              <w:t>招标文件（资格预审文件）进行澄清或者修改的，未通过电子招标投标交易平台的方式公告澄清或者修改的内容。</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785"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54</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招标文件</w:t>
            </w:r>
            <w:r>
              <w:rPr>
                <w:rFonts w:hint="default" w:ascii="Times New Roman" w:hAnsi="Times New Roman" w:eastAsia="仿宋_GB2312" w:cs="Times New Roman"/>
                <w:sz w:val="24"/>
                <w:szCs w:val="24"/>
                <w:lang w:eastAsia="zh-CN"/>
              </w:rPr>
              <w:t>（资格预审文件）</w:t>
            </w:r>
            <w:r>
              <w:rPr>
                <w:rFonts w:hint="default" w:ascii="Times New Roman" w:hAnsi="Times New Roman" w:eastAsia="仿宋_GB2312" w:cs="Times New Roman"/>
                <w:sz w:val="24"/>
                <w:szCs w:val="24"/>
              </w:rPr>
              <w:t>发售、澄清、修改的时限，或者确定提交资格预审申请文件、投标文件的时限不符合法律法规的规定。</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803"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55</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招标文件</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资格预审文件</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中设置以不合理的条件限制、排斥潜在投标人或者投标人。</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1年</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10</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10</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709"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6</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代理依法必须进行招标的项目，向他人透露或者已获取招标文件的潜在投标人的名称、数量</w:t>
            </w:r>
            <w:r>
              <w:rPr>
                <w:rFonts w:hint="default" w:ascii="Times New Roman" w:hAnsi="Times New Roman" w:eastAsia="仿宋_GB2312" w:cs="Times New Roman"/>
                <w:sz w:val="24"/>
                <w:szCs w:val="24"/>
                <w:lang w:eastAsia="zh-CN"/>
              </w:rPr>
              <w:t>及相关信息</w:t>
            </w:r>
            <w:r>
              <w:rPr>
                <w:rFonts w:hint="default" w:ascii="Times New Roman" w:hAnsi="Times New Roman" w:eastAsia="仿宋_GB2312" w:cs="Times New Roman"/>
                <w:sz w:val="24"/>
                <w:szCs w:val="24"/>
              </w:rPr>
              <w:t>。</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709"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57</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擅自修改经招标人审核确认的招标项目资料或者成果文件。</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709"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58</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eastAsia="zh-CN"/>
              </w:rPr>
              <w:t>未按照规定对招标文件进行公平竞争审查。</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3个月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p>
        </w:tc>
      </w:tr>
      <w:tr>
        <w:tblPrEx>
          <w:tblCellMar>
            <w:top w:w="0" w:type="dxa"/>
            <w:left w:w="0" w:type="dxa"/>
            <w:bottom w:w="0" w:type="dxa"/>
            <w:right w:w="0" w:type="dxa"/>
          </w:tblCellMar>
        </w:tblPrEx>
        <w:trPr>
          <w:trHeight w:val="709"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59</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restar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sz w:val="24"/>
                <w:szCs w:val="24"/>
                <w:lang w:eastAsia="zh-CN"/>
              </w:rPr>
            </w:pP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sz w:val="24"/>
                <w:szCs w:val="24"/>
                <w:lang w:eastAsia="zh-CN"/>
              </w:rPr>
            </w:pPr>
          </w:p>
          <w:p>
            <w:pPr>
              <w:jc w:val="center"/>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开标</w:t>
            </w:r>
          </w:p>
          <w:p>
            <w:pPr>
              <w:jc w:val="center"/>
              <w:rPr>
                <w:rFonts w:hint="default" w:ascii="Times New Roman" w:hAnsi="Times New Roman" w:eastAsia="仿宋_GB2312" w:cs="Times New Roman"/>
                <w:sz w:val="24"/>
                <w:szCs w:val="24"/>
                <w:lang w:eastAsia="zh-CN"/>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未按招标文件规定的时间、地点开标。</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3个月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709"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60</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项目负责人未到场组织开标。</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61</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eastAsia="zh-CN"/>
              </w:rPr>
            </w:pPr>
          </w:p>
        </w:tc>
        <w:tc>
          <w:tcPr>
            <w:tcW w:w="584" w:type="dxa"/>
            <w:vMerge w:val="restar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开标</w:t>
            </w: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对投标人开标时提出的异议，未当场作出答复，或未如实记录。</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62</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接收应当拒收的投标文件。</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63</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投标人少于3个，继续开标。</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1年</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10</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10</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64</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restar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Style w:val="2"/>
              <w:rPr>
                <w:rFonts w:hint="default"/>
              </w:rPr>
            </w:pPr>
          </w:p>
          <w:p>
            <w:pPr>
              <w:pStyle w:val="3"/>
              <w:rPr>
                <w:rFonts w:hint="default"/>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评标</w:t>
            </w: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Style w:val="3"/>
              <w:rPr>
                <w:rFonts w:hint="default"/>
              </w:rPr>
            </w:pPr>
          </w:p>
          <w:p>
            <w:pPr>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szCs w:val="24"/>
              </w:rPr>
            </w:pPr>
          </w:p>
          <w:p>
            <w:pPr>
              <w:pStyle w:val="2"/>
              <w:rPr>
                <w:rFonts w:hint="default"/>
              </w:rPr>
            </w:pPr>
          </w:p>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评标</w:t>
            </w: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eastAsia="zh-CN"/>
              </w:rPr>
              <w:t>评标时项目负责人未到达指定场所或者无故离场</w:t>
            </w:r>
            <w:r>
              <w:rPr>
                <w:rFonts w:hint="default" w:ascii="Times New Roman" w:hAnsi="Times New Roman" w:eastAsia="仿宋_GB2312" w:cs="Times New Roman"/>
                <w:sz w:val="24"/>
                <w:szCs w:val="24"/>
              </w:rPr>
              <w:t>。</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65</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评标委员会组建或者人员组成不符合有关规定。</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1年</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10</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10</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66</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未及时更换有回避事由、擅离职守或者因健康等原因</w:t>
            </w:r>
            <w:r>
              <w:rPr>
                <w:rFonts w:hint="eastAsia" w:ascii="Times New Roman" w:hAnsi="Times New Roman" w:cs="Times New Roman"/>
                <w:sz w:val="24"/>
                <w:szCs w:val="24"/>
                <w:lang w:eastAsia="zh-CN"/>
              </w:rPr>
              <w:t>不能</w:t>
            </w:r>
            <w:r>
              <w:rPr>
                <w:rFonts w:hint="default" w:ascii="Times New Roman" w:hAnsi="Times New Roman" w:eastAsia="仿宋_GB2312" w:cs="Times New Roman"/>
                <w:sz w:val="24"/>
                <w:szCs w:val="24"/>
              </w:rPr>
              <w:t>继续评标的评标委员会成员；或者更换除因回避事由、擅离职守或者因健康等法定不</w:t>
            </w:r>
            <w:r>
              <w:rPr>
                <w:rFonts w:hint="eastAsia" w:ascii="Times New Roman" w:hAnsi="Times New Roman" w:cs="Times New Roman"/>
                <w:sz w:val="24"/>
                <w:szCs w:val="24"/>
                <w:lang w:eastAsia="zh-CN"/>
              </w:rPr>
              <w:t>能</w:t>
            </w:r>
            <w:r>
              <w:rPr>
                <w:rFonts w:hint="default" w:ascii="Times New Roman" w:hAnsi="Times New Roman" w:eastAsia="仿宋_GB2312" w:cs="Times New Roman"/>
                <w:sz w:val="24"/>
                <w:szCs w:val="24"/>
              </w:rPr>
              <w:t>继续评标原因外的评标委员会成员。</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67</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向评标委员会提供明示或暗示带有倾向或排斥特定投标人信息。</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6</w:t>
            </w:r>
            <w:r>
              <w:rPr>
                <w:rFonts w:hint="default" w:ascii="Times New Roman" w:hAnsi="Times New Roman" w:eastAsia="仿宋_GB2312" w:cs="Times New Roman"/>
                <w:sz w:val="24"/>
                <w:szCs w:val="24"/>
                <w:lang w:val="en-US" w:eastAsia="zh-CN"/>
              </w:rPr>
              <w:t>8</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eastAsia="zh-CN"/>
              </w:rPr>
              <w:t>招标文件表述歧义或者逻辑错误等问题造成评标委员会无法评标。</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69</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电子评标系统对不同投标人的投标文件雷同性做出提示或者预警的，评标委员会未按招标文件规定进行处理，招标代理机构未及时提醒评标委员会进行</w:t>
            </w:r>
            <w:r>
              <w:rPr>
                <w:rFonts w:hint="eastAsia" w:ascii="Times New Roman" w:hAnsi="Times New Roman" w:cs="Times New Roman"/>
                <w:sz w:val="24"/>
                <w:szCs w:val="24"/>
                <w:lang w:eastAsia="zh-CN"/>
              </w:rPr>
              <w:t>正确</w:t>
            </w:r>
            <w:r>
              <w:rPr>
                <w:rFonts w:hint="default" w:ascii="Times New Roman" w:hAnsi="Times New Roman" w:eastAsia="仿宋_GB2312" w:cs="Times New Roman"/>
                <w:sz w:val="24"/>
                <w:szCs w:val="24"/>
              </w:rPr>
              <w:t>处理或者未及时上报住房和城乡建设主管部门。</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70</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评标委员会提交的书面评标报告不符合《评标委员会和评标方法暂行规定》的要求或者存在错误或遗漏的内容</w:t>
            </w:r>
            <w:r>
              <w:rPr>
                <w:rFonts w:hint="eastAsia" w:ascii="Times New Roman" w:hAnsi="Times New Roman" w:cs="Times New Roman"/>
                <w:sz w:val="24"/>
                <w:szCs w:val="24"/>
                <w:lang w:eastAsia="zh-CN"/>
              </w:rPr>
              <w:t>，</w:t>
            </w:r>
            <w:r>
              <w:rPr>
                <w:rFonts w:hint="default" w:ascii="Times New Roman" w:hAnsi="Times New Roman" w:eastAsia="仿宋_GB2312" w:cs="Times New Roman"/>
                <w:sz w:val="24"/>
                <w:szCs w:val="24"/>
              </w:rPr>
              <w:t>未对评标委员会提交的评审资料或者书面评标报告履行审查义务</w:t>
            </w:r>
            <w:r>
              <w:rPr>
                <w:rFonts w:hint="eastAsia" w:ascii="Times New Roman" w:hAnsi="Times New Roman" w:cs="Times New Roman"/>
                <w:sz w:val="24"/>
                <w:szCs w:val="24"/>
                <w:lang w:eastAsia="zh-CN"/>
              </w:rPr>
              <w:t>。</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71</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restart"/>
            <w:tcBorders>
              <w:top w:val="single" w:color="auto" w:sz="4" w:space="0"/>
              <w:left w:val="single" w:color="auto"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定标</w:t>
            </w: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代理依法必须进行招标的项目，未按规定确定中标人。</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1年</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10</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10</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72</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auto"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未通过电子招标投标交易平台以数据电文形式向中标人发出中标通知书；或者以发出中标通知书为条件，违规向投标人索取、收受财物或收取费用。</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73</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书面报告</w:t>
            </w:r>
          </w:p>
        </w:tc>
        <w:tc>
          <w:tcPr>
            <w:tcW w:w="7076"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rPr>
              <w:t>代理合同约定由招标代理机构负责招标投标情况书面报告的，未在规定时</w:t>
            </w:r>
            <w:r>
              <w:rPr>
                <w:rFonts w:hint="default" w:ascii="Times New Roman" w:hAnsi="Times New Roman" w:eastAsia="仿宋_GB2312" w:cs="Times New Roman"/>
                <w:sz w:val="24"/>
                <w:szCs w:val="24"/>
                <w:lang w:eastAsia="zh-CN"/>
              </w:rPr>
              <w:t>限</w:t>
            </w:r>
            <w:r>
              <w:rPr>
                <w:rFonts w:hint="default" w:ascii="Times New Roman" w:hAnsi="Times New Roman" w:eastAsia="仿宋_GB2312" w:cs="Times New Roman"/>
                <w:sz w:val="24"/>
                <w:szCs w:val="24"/>
              </w:rPr>
              <w:t>内向</w:t>
            </w:r>
            <w:r>
              <w:rPr>
                <w:rFonts w:hint="eastAsia" w:ascii="Times New Roman" w:hAnsi="Times New Roman" w:cs="Times New Roman"/>
                <w:sz w:val="24"/>
                <w:szCs w:val="24"/>
                <w:lang w:eastAsia="zh-CN"/>
              </w:rPr>
              <w:t>有关行政监督</w:t>
            </w:r>
            <w:r>
              <w:rPr>
                <w:rFonts w:hint="default" w:ascii="Times New Roman" w:hAnsi="Times New Roman" w:eastAsia="仿宋_GB2312" w:cs="Times New Roman"/>
                <w:sz w:val="24"/>
                <w:szCs w:val="24"/>
              </w:rPr>
              <w:t>部门</w:t>
            </w:r>
            <w:r>
              <w:rPr>
                <w:rFonts w:hint="default" w:ascii="Times New Roman" w:hAnsi="Times New Roman" w:eastAsia="仿宋_GB2312" w:cs="Times New Roman"/>
                <w:sz w:val="24"/>
                <w:szCs w:val="24"/>
                <w:lang w:eastAsia="zh-CN"/>
              </w:rPr>
              <w:t>提交</w:t>
            </w:r>
            <w:r>
              <w:rPr>
                <w:rFonts w:hint="default" w:ascii="Times New Roman" w:hAnsi="Times New Roman" w:eastAsia="仿宋_GB2312" w:cs="Times New Roman"/>
                <w:sz w:val="24"/>
                <w:szCs w:val="24"/>
              </w:rPr>
              <w:t>招</w:t>
            </w:r>
            <w:r>
              <w:rPr>
                <w:rFonts w:hint="default" w:ascii="Times New Roman" w:hAnsi="Times New Roman" w:eastAsia="仿宋_GB2312" w:cs="Times New Roman"/>
                <w:sz w:val="24"/>
                <w:szCs w:val="24"/>
                <w:lang w:eastAsia="zh-CN"/>
              </w:rPr>
              <w:t>标</w:t>
            </w:r>
            <w:r>
              <w:rPr>
                <w:rFonts w:hint="default" w:ascii="Times New Roman" w:hAnsi="Times New Roman" w:eastAsia="仿宋_GB2312" w:cs="Times New Roman"/>
                <w:sz w:val="24"/>
                <w:szCs w:val="24"/>
              </w:rPr>
              <w:t>投标情况</w:t>
            </w:r>
            <w:r>
              <w:rPr>
                <w:rFonts w:hint="default" w:ascii="Times New Roman" w:hAnsi="Times New Roman" w:eastAsia="仿宋_GB2312" w:cs="Times New Roman"/>
                <w:sz w:val="24"/>
                <w:szCs w:val="24"/>
                <w:lang w:eastAsia="zh-CN"/>
              </w:rPr>
              <w:t>的</w:t>
            </w:r>
            <w:r>
              <w:rPr>
                <w:rFonts w:hint="default" w:ascii="Times New Roman" w:hAnsi="Times New Roman" w:eastAsia="仿宋_GB2312" w:cs="Times New Roman"/>
                <w:sz w:val="24"/>
                <w:szCs w:val="24"/>
              </w:rPr>
              <w:t>书面报告。</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74</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restart"/>
            <w:tcBorders>
              <w:top w:val="single" w:color="auto" w:sz="4" w:space="0"/>
              <w:left w:val="single" w:color="auto"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rPr>
              <w:t>异议</w:t>
            </w:r>
            <w:r>
              <w:rPr>
                <w:rFonts w:hint="default" w:ascii="Times New Roman" w:hAnsi="Times New Roman" w:eastAsia="仿宋_GB2312" w:cs="Times New Roman"/>
                <w:sz w:val="24"/>
                <w:szCs w:val="24"/>
                <w:lang w:eastAsia="zh-CN"/>
              </w:rPr>
              <w:t>投诉</w:t>
            </w: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拒收异议函、</w:t>
            </w:r>
            <w:r>
              <w:rPr>
                <w:rFonts w:hint="default" w:ascii="Times New Roman" w:hAnsi="Times New Roman" w:eastAsia="仿宋_GB2312" w:cs="Times New Roman"/>
                <w:sz w:val="24"/>
                <w:szCs w:val="24"/>
                <w:lang w:eastAsia="zh-CN"/>
              </w:rPr>
              <w:t>拒</w:t>
            </w:r>
            <w:r>
              <w:rPr>
                <w:rFonts w:hint="default" w:ascii="Times New Roman" w:hAnsi="Times New Roman" w:eastAsia="仿宋_GB2312" w:cs="Times New Roman"/>
                <w:sz w:val="24"/>
                <w:szCs w:val="24"/>
              </w:rPr>
              <w:t>不受理符合受理条件的异议或者未按照规定答复异议。</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75</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auto"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异议答复</w:t>
            </w:r>
            <w:r>
              <w:rPr>
                <w:rFonts w:hint="default" w:ascii="Times New Roman" w:hAnsi="Times New Roman" w:eastAsia="仿宋_GB2312" w:cs="Times New Roman"/>
                <w:sz w:val="24"/>
                <w:szCs w:val="24"/>
                <w:lang w:eastAsia="zh-CN"/>
              </w:rPr>
              <w:t>期间</w:t>
            </w: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eastAsia="zh-CN"/>
              </w:rPr>
              <w:t>未</w:t>
            </w:r>
            <w:r>
              <w:rPr>
                <w:rFonts w:hint="default" w:ascii="Times New Roman" w:hAnsi="Times New Roman" w:eastAsia="仿宋_GB2312" w:cs="Times New Roman"/>
                <w:sz w:val="24"/>
                <w:szCs w:val="24"/>
              </w:rPr>
              <w:t>暂停招投标活动。</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76</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auto"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项目负责人未参与</w:t>
            </w:r>
            <w:r>
              <w:rPr>
                <w:rFonts w:hint="default" w:ascii="Times New Roman" w:hAnsi="Times New Roman" w:eastAsia="仿宋_GB2312" w:cs="Times New Roman"/>
                <w:sz w:val="24"/>
                <w:szCs w:val="24"/>
                <w:lang w:eastAsia="zh-CN"/>
              </w:rPr>
              <w:t>处理</w:t>
            </w:r>
            <w:r>
              <w:rPr>
                <w:rFonts w:hint="default" w:ascii="Times New Roman" w:hAnsi="Times New Roman" w:eastAsia="仿宋_GB2312" w:cs="Times New Roman"/>
                <w:sz w:val="24"/>
                <w:szCs w:val="24"/>
              </w:rPr>
              <w:t>异议答复。</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rPr>
          <w:trHeight w:val="680"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77</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auto"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因招标代理机构</w:t>
            </w:r>
            <w:r>
              <w:rPr>
                <w:rFonts w:hint="default" w:ascii="Times New Roman" w:hAnsi="Times New Roman" w:eastAsia="仿宋_GB2312" w:cs="Times New Roman"/>
                <w:sz w:val="24"/>
                <w:szCs w:val="24"/>
                <w:lang w:eastAsia="zh-CN"/>
              </w:rPr>
              <w:t>工作失误等</w:t>
            </w:r>
            <w:r>
              <w:rPr>
                <w:rFonts w:hint="default" w:ascii="Times New Roman" w:hAnsi="Times New Roman" w:eastAsia="仿宋_GB2312" w:cs="Times New Roman"/>
                <w:sz w:val="24"/>
                <w:szCs w:val="24"/>
              </w:rPr>
              <w:t>原因导致项目投诉成立</w:t>
            </w:r>
            <w:r>
              <w:rPr>
                <w:rFonts w:hint="default" w:ascii="Times New Roman" w:hAnsi="Times New Roman" w:eastAsia="仿宋_GB2312" w:cs="Times New Roman"/>
                <w:sz w:val="24"/>
                <w:szCs w:val="24"/>
                <w:lang w:eastAsia="zh-CN"/>
              </w:rPr>
              <w:t>。</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3个月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78</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auto"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拒不配合住房和城乡建设主管部门处理投诉</w:t>
            </w:r>
            <w:r>
              <w:rPr>
                <w:rFonts w:hint="default" w:ascii="Times New Roman" w:hAnsi="Times New Roman" w:eastAsia="仿宋_GB2312" w:cs="Times New Roman"/>
                <w:sz w:val="24"/>
                <w:szCs w:val="24"/>
              </w:rPr>
              <w:t>。</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3个月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791"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79</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restart"/>
            <w:tcBorders>
              <w:top w:val="single" w:color="auto" w:sz="4" w:space="0"/>
              <w:left w:val="single" w:color="auto"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信息公开</w:t>
            </w: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eastAsia="zh-CN"/>
              </w:rPr>
              <w:t>依法必须公开招标项目的招标公告（</w:t>
            </w:r>
            <w:r>
              <w:rPr>
                <w:rFonts w:hint="default" w:ascii="Times New Roman" w:hAnsi="Times New Roman" w:eastAsia="仿宋_GB2312" w:cs="Times New Roman"/>
                <w:sz w:val="24"/>
                <w:szCs w:val="24"/>
              </w:rPr>
              <w:t>资格预审公告</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未按照《招标公告和公示信息发布管理办法》及有关文件规定发布。</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90" w:hRule="atLeast"/>
          <w:jc w:val="center"/>
        </w:trPr>
        <w:tc>
          <w:tcPr>
            <w:tcW w:w="650"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80</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auto"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依法必须招标项目的中标候选人公示和中标结果公示</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未按照《招标公告和公示信息发布管理办法》及有关文件规定发布。</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773" w:hRule="atLeast"/>
          <w:jc w:val="center"/>
        </w:trPr>
        <w:tc>
          <w:tcPr>
            <w:tcW w:w="650" w:type="dxa"/>
            <w:tcBorders>
              <w:top w:val="single" w:color="000000" w:sz="4" w:space="0"/>
              <w:left w:val="single" w:color="000000" w:sz="4" w:space="0"/>
              <w:bottom w:val="single" w:color="000000" w:sz="4" w:space="0"/>
              <w:right w:val="single" w:color="auto" w:sz="4" w:space="0"/>
            </w:tcBorders>
            <w:shd w:val="clear" w:color="auto" w:fill="auto"/>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81</w:t>
            </w:r>
          </w:p>
        </w:tc>
        <w:tc>
          <w:tcPr>
            <w:tcW w:w="585" w:type="dxa"/>
            <w:vMerge w:val="continue"/>
            <w:tcBorders>
              <w:top w:val="single" w:color="auto"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auto" w:sz="4" w:space="0"/>
              <w:bottom w:val="single" w:color="auto" w:sz="4" w:space="0"/>
              <w:right w:val="single" w:color="000000" w:sz="4" w:space="0"/>
            </w:tcBorders>
            <w:shd w:val="clear" w:color="auto" w:fill="auto"/>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招标代理合同约定由代理机构负责公开项目合同签订信息和中标人履约信息的，代理机构未按合同约定在有关媒介公开信息。</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82</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restart"/>
            <w:tcBorders>
              <w:top w:val="single" w:color="auto" w:sz="4" w:space="0"/>
              <w:left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p>
            <w:pPr>
              <w:jc w:val="center"/>
              <w:rPr>
                <w:rFonts w:hint="default" w:ascii="Times New Roman" w:hAnsi="Times New Roman" w:eastAsia="仿宋_GB2312" w:cs="Times New Roman"/>
                <w:sz w:val="24"/>
                <w:szCs w:val="24"/>
              </w:rPr>
            </w:pPr>
          </w:p>
          <w:p>
            <w:pPr>
              <w:pStyle w:val="3"/>
              <w:jc w:val="center"/>
              <w:rPr>
                <w:rFonts w:hint="default" w:ascii="Times New Roman" w:hAnsi="Times New Roman" w:eastAsia="仿宋_GB2312" w:cs="Times New Roman"/>
                <w:sz w:val="24"/>
                <w:szCs w:val="24"/>
              </w:rPr>
            </w:pPr>
          </w:p>
          <w:p>
            <w:pPr>
              <w:jc w:val="center"/>
              <w:rPr>
                <w:rFonts w:hint="default"/>
              </w:rPr>
            </w:pPr>
          </w:p>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其他</w:t>
            </w:r>
          </w:p>
          <w:p>
            <w:pPr>
              <w:jc w:val="center"/>
              <w:rPr>
                <w:rFonts w:hint="default" w:ascii="Times New Roman" w:hAnsi="Times New Roman" w:eastAsia="仿宋_GB2312" w:cs="Times New Roman"/>
                <w:sz w:val="24"/>
                <w:szCs w:val="24"/>
              </w:rPr>
            </w:pPr>
          </w:p>
          <w:p>
            <w:pPr>
              <w:pStyle w:val="3"/>
              <w:jc w:val="center"/>
              <w:rPr>
                <w:rFonts w:hint="default" w:ascii="Times New Roman" w:hAnsi="Times New Roman" w:eastAsia="仿宋_GB2312" w:cs="Times New Roman"/>
                <w:sz w:val="24"/>
                <w:szCs w:val="24"/>
              </w:rPr>
            </w:pPr>
          </w:p>
          <w:p>
            <w:pPr>
              <w:jc w:val="center"/>
              <w:rPr>
                <w:rFonts w:hint="default"/>
              </w:rPr>
            </w:pPr>
          </w:p>
          <w:p>
            <w:pPr>
              <w:jc w:val="center"/>
              <w:rPr>
                <w:rFonts w:hint="default" w:ascii="Times New Roman" w:hAnsi="Times New Roman" w:eastAsia="仿宋_GB2312" w:cs="Times New Roman"/>
                <w:sz w:val="24"/>
                <w:szCs w:val="24"/>
              </w:rPr>
            </w:pPr>
          </w:p>
          <w:p>
            <w:pPr>
              <w:jc w:val="center"/>
              <w:rPr>
                <w:rFonts w:hint="default" w:ascii="Times New Roman" w:hAnsi="Times New Roman" w:eastAsia="仿宋_GB2312" w:cs="Times New Roman"/>
                <w:sz w:val="24"/>
                <w:szCs w:val="24"/>
              </w:rPr>
            </w:pPr>
          </w:p>
          <w:p>
            <w:pPr>
              <w:pStyle w:val="3"/>
              <w:keepNext/>
              <w:keepLines/>
              <w:pageBreakBefore w:val="0"/>
              <w:widowControl w:val="0"/>
              <w:kinsoku/>
              <w:wordWrap/>
              <w:overflowPunct/>
              <w:topLinePunct w:val="0"/>
              <w:autoSpaceDE/>
              <w:autoSpaceDN/>
              <w:bidi w:val="0"/>
              <w:adjustRightInd/>
              <w:snapToGrid/>
              <w:spacing w:line="340" w:lineRule="exact"/>
              <w:jc w:val="center"/>
              <w:textAlignment w:val="auto"/>
              <w:rPr>
                <w:rFonts w:hint="default"/>
              </w:rPr>
            </w:pPr>
          </w:p>
          <w:p>
            <w:pPr>
              <w:pageBreakBefore w:val="0"/>
              <w:widowControl w:val="0"/>
              <w:kinsoku/>
              <w:wordWrap/>
              <w:overflowPunct/>
              <w:topLinePunct w:val="0"/>
              <w:autoSpaceDE/>
              <w:autoSpaceDN/>
              <w:bidi w:val="0"/>
              <w:adjustRightInd/>
              <w:snapToGrid/>
              <w:spacing w:line="340" w:lineRule="exact"/>
              <w:textAlignment w:val="auto"/>
              <w:rPr>
                <w:rFonts w:hint="default"/>
              </w:rPr>
            </w:pPr>
          </w:p>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其他</w:t>
            </w:r>
          </w:p>
        </w:tc>
        <w:tc>
          <w:tcPr>
            <w:tcW w:w="70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不配合住房和城乡建设主管</w:t>
            </w:r>
            <w:r>
              <w:rPr>
                <w:rFonts w:hint="default" w:ascii="Times New Roman" w:hAnsi="Times New Roman" w:eastAsia="仿宋_GB2312" w:cs="Times New Roman"/>
                <w:sz w:val="24"/>
                <w:szCs w:val="24"/>
                <w:lang w:eastAsia="zh-CN"/>
              </w:rPr>
              <w:t>部门</w:t>
            </w:r>
            <w:r>
              <w:rPr>
                <w:rFonts w:hint="default" w:ascii="Times New Roman" w:hAnsi="Times New Roman" w:eastAsia="仿宋_GB2312" w:cs="Times New Roman"/>
                <w:sz w:val="24"/>
                <w:szCs w:val="24"/>
              </w:rPr>
              <w:t>的监督检查。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83</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left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超越合同约定的范围或内容办理代理事项。</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84</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left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eastAsia="zh-CN"/>
              </w:rPr>
            </w:pPr>
          </w:p>
        </w:tc>
        <w:tc>
          <w:tcPr>
            <w:tcW w:w="70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与招标人、投标人串通损害国家利益、公共利益或者他人合法的权益。</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1年</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20</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20</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793"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85</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left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因招标代理机构未及时告知招标人在招标过程中存在的各类风险，致使招标人造成损失。</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1708"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86</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eastAsia="zh-CN"/>
              </w:rPr>
              <w:t>未</w:t>
            </w:r>
            <w:r>
              <w:rPr>
                <w:rFonts w:hint="default" w:ascii="Times New Roman" w:hAnsi="Times New Roman" w:eastAsia="仿宋_GB2312" w:cs="Times New Roman"/>
                <w:sz w:val="24"/>
                <w:szCs w:val="24"/>
              </w:rPr>
              <w:t>如实记录和保存招标活动中形成的各类成果文件和与招标人进行讨论和沟通中各方对关键问题的不同观点和意见、最终结论以及招标投标程序之外递转的可能对招标投标活动产生影响的函文、信件或者口头意见或者伪造、隐匿招标代理过程文件以及成果文件。</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87</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因从业人员不熟悉建设工程和招标投标相关的法律法规、不熟悉电子招标投标流程、不能熟练运用电子招标投标系统、不能综合应用专业知识分析和解决招标实际问题，影响招标投标活动正常进行。</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88</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对监督人员、相关工作人员进行人格侮辱、人身攻击或毁坏评标场所财物。</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1年</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10</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10</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89</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eastAsia="zh-CN"/>
              </w:rPr>
              <w:t>未向缴纳代理费的中标人开具代理费发票。</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90</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住房和城乡建设主管部门责令改正的其他行为。</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91</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公共资源交易中心通报的其他不规范行为。</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rPr>
              <w:t>3个月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r>
        <w:tblPrEx>
          <w:tblCellMar>
            <w:top w:w="0" w:type="dxa"/>
            <w:left w:w="0" w:type="dxa"/>
            <w:bottom w:w="0" w:type="dxa"/>
            <w:right w:w="0" w:type="dxa"/>
          </w:tblCellMar>
        </w:tblPrEx>
        <w:trPr>
          <w:trHeight w:val="680" w:hRule="atLeast"/>
          <w:jc w:val="center"/>
        </w:trPr>
        <w:tc>
          <w:tcPr>
            <w:tcW w:w="65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92</w:t>
            </w:r>
          </w:p>
        </w:tc>
        <w:tc>
          <w:tcPr>
            <w:tcW w:w="585"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584" w:type="dxa"/>
            <w:vMerge w:val="continue"/>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c>
          <w:tcPr>
            <w:tcW w:w="70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eastAsia="zh-CN"/>
              </w:rPr>
              <w:t>未</w:t>
            </w:r>
            <w:r>
              <w:rPr>
                <w:rFonts w:hint="default" w:ascii="Times New Roman" w:hAnsi="Times New Roman" w:eastAsia="仿宋_GB2312" w:cs="Times New Roman"/>
                <w:sz w:val="24"/>
                <w:szCs w:val="24"/>
              </w:rPr>
              <w:t>按照住房和城乡建设主管部门下达的《责令（限期）整改通知书》在规定期限内改正。</w:t>
            </w:r>
          </w:p>
        </w:tc>
        <w:tc>
          <w:tcPr>
            <w:tcW w:w="10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rPr>
              <w:t>6个月</w:t>
            </w:r>
          </w:p>
        </w:tc>
        <w:tc>
          <w:tcPr>
            <w:tcW w:w="1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lang w:val="en-US" w:eastAsia="zh-CN"/>
              </w:rPr>
              <w:t>/次</w:t>
            </w:r>
          </w:p>
        </w:tc>
        <w:tc>
          <w:tcPr>
            <w:tcW w:w="18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仿宋_GB2312" w:cs="Times New Roman"/>
                <w:sz w:val="24"/>
                <w:szCs w:val="24"/>
              </w:rPr>
            </w:pPr>
          </w:p>
        </w:tc>
      </w:tr>
    </w:tbl>
    <w:p>
      <w:pPr>
        <w:pStyle w:val="2"/>
      </w:pPr>
    </w:p>
    <w:p>
      <w:pPr>
        <w:spacing w:line="340" w:lineRule="exact"/>
        <w:rPr>
          <w:rFonts w:hint="eastAsia" w:ascii="Times New Roman" w:hAnsi="Times New Roman" w:cs="Times New Roman"/>
          <w:color w:val="000000"/>
          <w:kern w:val="0"/>
          <w:sz w:val="21"/>
          <w:szCs w:val="21"/>
          <w:lang w:eastAsia="zh-CN" w:bidi="ar"/>
        </w:rPr>
      </w:pPr>
      <w:r>
        <w:rPr>
          <w:rFonts w:hint="eastAsia" w:ascii="Times New Roman" w:hAnsi="Times New Roman" w:cs="Times New Roman"/>
          <w:color w:val="000000"/>
          <w:kern w:val="0"/>
          <w:sz w:val="21"/>
          <w:szCs w:val="21"/>
          <w:lang w:eastAsia="zh-CN" w:bidi="ar"/>
        </w:rPr>
        <w:t>注：同一行为涉及多个考评分值的，按照分值高的计分，不累计、不重复计分。</w:t>
      </w:r>
    </w:p>
    <w:p>
      <w:pPr>
        <w:pStyle w:val="2"/>
        <w:keepNext w:val="0"/>
        <w:keepLines w:val="0"/>
        <w:pageBreakBefore w:val="0"/>
        <w:widowControl w:val="0"/>
        <w:kinsoku/>
        <w:wordWrap/>
        <w:overflowPunct/>
        <w:topLinePunct w:val="0"/>
        <w:autoSpaceDE/>
        <w:autoSpaceDN/>
        <w:bidi w:val="0"/>
        <w:adjustRightInd/>
        <w:snapToGrid/>
        <w:spacing w:line="20" w:lineRule="exact"/>
        <w:textAlignment w:val="auto"/>
      </w:pPr>
    </w:p>
    <w:sectPr>
      <w:footerReference r:id="rId3" w:type="default"/>
      <w:pgSz w:w="16838" w:h="11906" w:orient="landscape"/>
      <w:pgMar w:top="1587" w:right="2098" w:bottom="1474" w:left="198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方正小标宋_GBK">
    <w:altName w:val="微软雅黑"/>
    <w:panose1 w:val="03000509000000000000"/>
    <w:charset w:val="86"/>
    <w:family w:val="auto"/>
    <w:pitch w:val="default"/>
    <w:sig w:usb0="00000000" w:usb1="00000000" w:usb2="00000000" w:usb3="00000000" w:csb0="00040000" w:csb1="00000000"/>
  </w:font>
  <w:font w:name="文星标宋">
    <w:altName w:val="微软雅黑"/>
    <w:panose1 w:val="0201060900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1NWZjMGU1MjljMTkzMjMxNjEzODdkMzc4NGFkZmUifQ=="/>
  </w:docVars>
  <w:rsids>
    <w:rsidRoot w:val="54133ECE"/>
    <w:rsid w:val="0C16537C"/>
    <w:rsid w:val="1D4329A3"/>
    <w:rsid w:val="258F6779"/>
    <w:rsid w:val="35690E8D"/>
    <w:rsid w:val="373E3DF6"/>
    <w:rsid w:val="3AE832FE"/>
    <w:rsid w:val="435D24FA"/>
    <w:rsid w:val="46381111"/>
    <w:rsid w:val="48596643"/>
    <w:rsid w:val="54133ECE"/>
    <w:rsid w:val="57EF3AD2"/>
    <w:rsid w:val="6D315BEC"/>
    <w:rsid w:val="76A71879"/>
    <w:rsid w:val="7A56204E"/>
    <w:rsid w:val="7AFE26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微软雅黑"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仿宋_GB2312" w:cs="Times New Roman"/>
      <w:kern w:val="2"/>
      <w:sz w:val="32"/>
      <w:szCs w:val="22"/>
      <w:lang w:val="en-US" w:eastAsia="zh-CN" w:bidi="ar-SA"/>
    </w:rPr>
  </w:style>
  <w:style w:type="paragraph" w:styleId="3">
    <w:name w:val="heading 2"/>
    <w:basedOn w:val="1"/>
    <w:next w:val="1"/>
    <w:autoRedefine/>
    <w:qFormat/>
    <w:uiPriority w:val="0"/>
    <w:pPr>
      <w:keepNext/>
      <w:keepLines/>
      <w:spacing w:before="260" w:after="260" w:line="416" w:lineRule="auto"/>
      <w:outlineLvl w:val="1"/>
    </w:pPr>
    <w:rPr>
      <w:rFonts w:ascii="Cambria" w:hAnsi="Cambria"/>
      <w:b/>
      <w:bCs/>
      <w:sz w:val="32"/>
      <w:szCs w:val="32"/>
    </w:rPr>
  </w:style>
  <w:style w:type="character" w:default="1" w:styleId="8">
    <w:name w:val="Default Paragraph Font"/>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customStyle="1" w:styleId="2">
    <w:name w:val="BodyText"/>
    <w:basedOn w:val="1"/>
    <w:qFormat/>
    <w:uiPriority w:val="0"/>
    <w:rPr>
      <w:sz w:val="24"/>
    </w:rPr>
  </w:style>
  <w:style w:type="paragraph" w:styleId="4">
    <w:name w:val="Body Text"/>
    <w:basedOn w:val="1"/>
    <w:autoRedefine/>
    <w:unhideWhenUsed/>
    <w:qFormat/>
    <w:uiPriority w:val="99"/>
    <w:pPr>
      <w:spacing w:after="120" w:afterLines="0" w:afterAutospacing="0"/>
    </w:pPr>
  </w:style>
  <w:style w:type="paragraph" w:styleId="5">
    <w:name w:val="footer"/>
    <w:basedOn w:val="1"/>
    <w:autoRedefine/>
    <w:unhideWhenUsed/>
    <w:qFormat/>
    <w:uiPriority w:val="99"/>
    <w:pPr>
      <w:tabs>
        <w:tab w:val="center" w:pos="4153"/>
        <w:tab w:val="right" w:pos="8306"/>
      </w:tabs>
      <w:snapToGrid w:val="0"/>
      <w:jc w:val="left"/>
    </w:pPr>
    <w:rPr>
      <w:sz w:val="18"/>
      <w:szCs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Emphasis"/>
    <w:basedOn w:val="8"/>
    <w:qFormat/>
    <w:uiPriority w:val="0"/>
    <w:rPr>
      <w:i/>
      <w:iCs/>
    </w:rPr>
  </w:style>
  <w:style w:type="paragraph" w:customStyle="1" w:styleId="10">
    <w:name w:val="Default"/>
    <w:autoRedefine/>
    <w:qFormat/>
    <w:uiPriority w:val="99"/>
    <w:pPr>
      <w:widowControl w:val="0"/>
      <w:autoSpaceDE w:val="0"/>
      <w:autoSpaceDN w:val="0"/>
      <w:adjustRightInd w:val="0"/>
    </w:pPr>
    <w:rPr>
      <w:rFonts w:ascii="仿宋_GB2312" w:hAnsi="Calibri" w:eastAsia="仿宋_GB2312" w:cs="Times New Roman"/>
      <w:color w:val="000000"/>
      <w:sz w:val="24"/>
      <w:szCs w:val="22"/>
      <w:lang w:val="en-US" w:eastAsia="zh-CN" w:bidi="ar-SA"/>
    </w:rPr>
  </w:style>
  <w:style w:type="paragraph" w:customStyle="1" w:styleId="11">
    <w:name w:val="Body Text Indent 21"/>
    <w:basedOn w:val="1"/>
    <w:autoRedefine/>
    <w:qFormat/>
    <w:uiPriority w:val="99"/>
    <w:pPr>
      <w:spacing w:line="480" w:lineRule="auto"/>
      <w:ind w:left="200" w:left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5080</Words>
  <Characters>5350</Characters>
  <Lines>0</Lines>
  <Paragraphs>0</Paragraphs>
  <TotalTime>63</TotalTime>
  <ScaleCrop>false</ScaleCrop>
  <LinksUpToDate>false</LinksUpToDate>
  <CharactersWithSpaces>5430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2023-09-07T00:57:00Z</dcterms:created>
  <dc:creator>zxy</dc:creator>
  <cp:lastModifiedBy>时霖</cp:lastModifiedBy>
  <cp:lastPrinted>2023-09-07T10:23:00Z</cp:lastPrinted>
  <dcterms:modified xsi:type="dcterms:W3CDTF">2024-05-22T07:20:20Z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C5A847338B50443EA7B2DE8FE146884A_13</vt:lpwstr>
  </property>
</Properties>
</file>