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72" w:lineRule="exact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_GBK"/>
          <w:sz w:val="44"/>
          <w:szCs w:val="44"/>
        </w:rPr>
        <w:t>洛阳市</w:t>
      </w:r>
      <w:r>
        <w:rPr>
          <w:rFonts w:ascii="Times New Roman" w:hAnsi="Times New Roman" w:eastAsia="方正小标宋_GBK"/>
          <w:sz w:val="44"/>
          <w:szCs w:val="44"/>
        </w:rPr>
        <w:t>新型研发机构绩效</w:t>
      </w:r>
      <w:r>
        <w:rPr>
          <w:rFonts w:ascii="Times New Roman" w:hAnsi="Times New Roman" w:eastAsia="方正小标宋_GBK"/>
          <w:sz w:val="44"/>
          <w:szCs w:val="44"/>
          <w:lang w:val="en"/>
        </w:rPr>
        <w:t>考核</w:t>
      </w:r>
      <w:r>
        <w:rPr>
          <w:rFonts w:ascii="Times New Roman" w:hAnsi="Times New Roman" w:eastAsia="方正小标宋_GBK"/>
          <w:sz w:val="44"/>
          <w:szCs w:val="44"/>
        </w:rPr>
        <w:t>指标体系</w:t>
      </w:r>
    </w:p>
    <w:p>
      <w:pPr>
        <w:spacing w:line="572" w:lineRule="exact"/>
        <w:jc w:val="center"/>
        <w:textAlignment w:val="baseline"/>
        <w:rPr>
          <w:rFonts w:ascii="楷体_GB2312" w:hAnsi="Calibri" w:eastAsia="楷体_GB2312"/>
          <w:color w:val="000000"/>
          <w:sz w:val="32"/>
          <w:szCs w:val="32"/>
        </w:rPr>
      </w:pPr>
      <w:r>
        <w:rPr>
          <w:rFonts w:hint="eastAsia" w:ascii="楷体_GB2312" w:hAnsi="方正楷体_GBK" w:eastAsia="楷体_GB2312" w:cs="方正楷体_GBK"/>
          <w:color w:val="000000"/>
          <w:kern w:val="2"/>
          <w:sz w:val="32"/>
          <w:szCs w:val="32"/>
        </w:rPr>
        <w:t>（综合类）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961"/>
        <w:gridCol w:w="3796"/>
        <w:gridCol w:w="648"/>
        <w:gridCol w:w="974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tblHeader/>
          <w:jc w:val="center"/>
        </w:trPr>
        <w:tc>
          <w:tcPr>
            <w:tcW w:w="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一级指标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二级指标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单位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分值上限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jc w:val="center"/>
        </w:trPr>
        <w:tc>
          <w:tcPr>
            <w:tcW w:w="57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体制机制</w:t>
            </w:r>
          </w:p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建立现代化管理制度，实行理事会（董事会）制度、成立学术委员会（专家委员会），且运行高效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全面加强党的建设，包括设立党组织、开展活动等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03" w:hRule="atLeast"/>
          <w:jc w:val="center"/>
        </w:trPr>
        <w:tc>
          <w:tcPr>
            <w:tcW w:w="57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项目研发</w:t>
            </w:r>
          </w:p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年度研发经费支出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等于200万计2分，每增（减）50万加（扣）0.5分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8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研发经费支出占总收入的比例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%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等于20%万计2分，每增（减）5个百分点加（扣）0.5分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16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承担政府科研项目经费总额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等于100万计1分，每增（减）50万加（扣）0.5分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8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承担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横向课题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经费总额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等于100万计1分，每增（减）50万加（扣）0.5分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汇聚人才</w:t>
            </w:r>
          </w:p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（10）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引进博士或具有高级职称人才（团队）数量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人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每引进1个得0.5分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研发人员占职工总人数比例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%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等于30%万计2分，每增（减）5个百分点加（扣）0.5分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国家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级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、省级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创新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平台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载体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数量；国家重点实验室等国家级创新平台分支机构建设情况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个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国家级1家5分，省级1家2分，1个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分支机构2分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成果转化</w:t>
            </w:r>
          </w:p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（20）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授权发明专利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数量或制定行业以上标准数量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知识产权1项1分，标准1项2分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技术交易收入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等于200万计3分，每增（减）50万加（扣）1分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省级及以上科学技术奖奖励数量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国家级1项3分，省级1项2分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60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大型仪器设备开放和共享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个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每1台套原值50万元及以上设备在省、市平台上共享得1分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48" w:hRule="atLeast"/>
          <w:jc w:val="center"/>
        </w:trPr>
        <w:tc>
          <w:tcPr>
            <w:tcW w:w="577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孵化企业</w:t>
            </w:r>
          </w:p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（50）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创办孵化科技型企业（高新技术企业）及引进市外企业数量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家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10家及以上满分，1家2分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99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创办孵化科技型企业（高新技术企业）及引进市外企业累计营业收入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1亿元以上满分，每500万元1分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21" w:hRule="atLeast"/>
          <w:jc w:val="center"/>
        </w:trPr>
        <w:tc>
          <w:tcPr>
            <w:tcW w:w="577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创办孵化科技型企业（高新技术企业）及引进市外企业新增纳税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500万元满分，每100万元2分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765" w:hRule="atLeast"/>
          <w:jc w:val="center"/>
        </w:trPr>
        <w:tc>
          <w:tcPr>
            <w:tcW w:w="577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氛围营造</w:t>
            </w:r>
          </w:p>
          <w:p>
            <w:pPr>
              <w:widowControl w:val="0"/>
              <w:spacing w:line="28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22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市级及以上新闻媒体宣传情况</w:t>
            </w:r>
          </w:p>
        </w:tc>
        <w:tc>
          <w:tcPr>
            <w:tcW w:w="3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次</w:t>
            </w:r>
          </w:p>
        </w:tc>
        <w:tc>
          <w:tcPr>
            <w:tcW w:w="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人民日报、科技日报等国家媒体5分；河南日报、电视台等省媒体1次2分；洛阳日报、电视台等市媒体1次1分</w:t>
            </w:r>
          </w:p>
        </w:tc>
      </w:tr>
    </w:tbl>
    <w:p>
      <w:pPr>
        <w:spacing w:line="572" w:lineRule="exact"/>
        <w:ind w:firstLine="360" w:firstLineChars="200"/>
        <w:textAlignment w:val="baseline"/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</w:pPr>
      <w:r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  <w:t>备注：表中</w:t>
      </w:r>
      <w:r>
        <w:rPr>
          <w:rFonts w:hint="eastAsia" w:ascii="Times New Roman" w:hAnsi="Times New Roman" w:eastAsia="仿宋_GB2312"/>
          <w:color w:val="000000"/>
          <w:sz w:val="18"/>
          <w:szCs w:val="18"/>
        </w:rPr>
        <w:t>年度指标为上年度指标，其余为考核期指标。</w:t>
      </w:r>
    </w:p>
    <w:p>
      <w:pPr>
        <w:spacing w:line="572" w:lineRule="exact"/>
        <w:ind w:firstLine="880" w:firstLineChars="200"/>
        <w:textAlignment w:val="baseline"/>
        <w:rPr>
          <w:rFonts w:hint="eastAsia" w:ascii="Times New Roman" w:hAnsi="Times New Roman" w:eastAsia="方正小标宋_GBK"/>
          <w:color w:val="000000"/>
          <w:sz w:val="44"/>
          <w:szCs w:val="44"/>
        </w:rPr>
      </w:pPr>
    </w:p>
    <w:p>
      <w:pPr>
        <w:spacing w:line="572" w:lineRule="exact"/>
        <w:ind w:firstLine="880" w:firstLineChars="200"/>
        <w:textAlignment w:val="baseline"/>
        <w:rPr>
          <w:rFonts w:hint="eastAsia"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br w:type="page"/>
      </w:r>
    </w:p>
    <w:p>
      <w:pPr>
        <w:spacing w:line="572" w:lineRule="exact"/>
        <w:jc w:val="center"/>
        <w:textAlignment w:val="baseline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洛阳市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新型研发机构绩效</w:t>
      </w:r>
      <w:r>
        <w:rPr>
          <w:rFonts w:ascii="Times New Roman" w:hAnsi="Times New Roman" w:eastAsia="方正小标宋_GBK"/>
          <w:color w:val="000000"/>
          <w:sz w:val="44"/>
          <w:szCs w:val="44"/>
          <w:lang w:val="en"/>
        </w:rPr>
        <w:t>考核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指标体系</w:t>
      </w:r>
    </w:p>
    <w:p>
      <w:pPr>
        <w:spacing w:line="572" w:lineRule="exact"/>
        <w:jc w:val="center"/>
        <w:textAlignment w:val="baseline"/>
        <w:rPr>
          <w:rFonts w:hint="eastAsia" w:ascii="楷体_GB2312" w:hAnsi="方正楷体_GBK" w:eastAsia="楷体_GB2312" w:cs="方正楷体_GBK"/>
          <w:color w:val="000000"/>
          <w:sz w:val="32"/>
          <w:szCs w:val="32"/>
        </w:rPr>
      </w:pPr>
      <w:r>
        <w:rPr>
          <w:rFonts w:hint="eastAsia" w:ascii="楷体_GB2312" w:hAnsi="方正楷体_GBK" w:eastAsia="楷体_GB2312" w:cs="方正楷体_GBK"/>
          <w:color w:val="000000"/>
          <w:kern w:val="2"/>
          <w:sz w:val="32"/>
          <w:szCs w:val="32"/>
        </w:rPr>
        <w:t>（应用研究类）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939"/>
        <w:gridCol w:w="3634"/>
        <w:gridCol w:w="593"/>
        <w:gridCol w:w="933"/>
        <w:gridCol w:w="2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tblHeader/>
          <w:jc w:val="center"/>
        </w:trPr>
        <w:tc>
          <w:tcPr>
            <w:tcW w:w="5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一级指标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二级指标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单位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分值上限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jc w:val="center"/>
        </w:trPr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体制机制</w:t>
            </w:r>
          </w:p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建立现代化管理制度，实行理事会（董事会）制度、成立学术委员会（专家委员会），且运行高效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10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全面加强党的建设，包括设立党组织、开展活动等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0" w:hRule="atLeast"/>
          <w:jc w:val="center"/>
        </w:trPr>
        <w:tc>
          <w:tcPr>
            <w:tcW w:w="56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项目研发</w:t>
            </w:r>
          </w:p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15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年度研发经费支出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等于100万计2分，每增（减）50万加（扣）0.5分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00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年度研发经费支出占总收入的比例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%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等于15%万计2分，每增（减）5个百分点加（扣）0.5分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00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承担政府科研项目数量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国家级科研项目1项5分，省级重大科技项目1项2分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00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承担政府科研项目、横向课题经费总额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等于200万计3分，每增（减）50万加（扣）1分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64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汇聚人才</w:t>
            </w:r>
          </w:p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（10）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研发人员占职工总人数比例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%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等于30%万计3分，每增（减）5个百分点加（扣）1分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07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新增国家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级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、省级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创新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平台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载体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数量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个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国家级1家5分，省级1家2分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14" w:hRule="atLeast"/>
          <w:jc w:val="center"/>
        </w:trPr>
        <w:tc>
          <w:tcPr>
            <w:tcW w:w="564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成果转化</w:t>
            </w:r>
          </w:p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（15）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授权发明专利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数量或制定行业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及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以上标准数量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知识产权1项1分，标准1项2分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5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技术交易收入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等于100万计3分，每增（减）50万加（扣）1分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53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省级及以上科学技术奖奖励数量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国家级1项2分，省级1项1分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72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大型仪器设备开放和共享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个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3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28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每1台套原值50万元及以上设备在省、市平台上共享得1分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64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孵化企业</w:t>
            </w:r>
          </w:p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（50）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创办孵化科技型企业（高新技术企业）及引进市外企业数量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家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10家及以上满分，1家2分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创办孵化科技型企业（高新技术企业）及引进市外企业累计营业收入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1亿元以上满分，每500万元1分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6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创办孵化科技型企业（高新技术企业）及引进市外企业新增纳税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500万元满分，每100万元2分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39" w:hRule="atLeast"/>
          <w:jc w:val="center"/>
        </w:trPr>
        <w:tc>
          <w:tcPr>
            <w:tcW w:w="564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氛围营造</w:t>
            </w:r>
          </w:p>
          <w:p>
            <w:pPr>
              <w:widowControl w:val="0"/>
              <w:spacing w:line="30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21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市级及以上新闻媒体宣传情况</w:t>
            </w:r>
          </w:p>
        </w:tc>
        <w:tc>
          <w:tcPr>
            <w:tcW w:w="3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次</w:t>
            </w:r>
          </w:p>
        </w:tc>
        <w:tc>
          <w:tcPr>
            <w:tcW w:w="5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1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人民日报、科技日报等国家媒体5分；河南日报、电视台等省媒体1次2分；洛阳日报、电视台等市媒体1次1分</w:t>
            </w:r>
          </w:p>
        </w:tc>
      </w:tr>
    </w:tbl>
    <w:p>
      <w:pPr>
        <w:spacing w:line="572" w:lineRule="exact"/>
        <w:ind w:firstLine="360" w:firstLineChars="200"/>
        <w:textAlignment w:val="baseline"/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</w:pPr>
      <w:r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  <w:t>备注：表中</w:t>
      </w:r>
      <w:r>
        <w:rPr>
          <w:rFonts w:hint="eastAsia" w:ascii="Times New Roman" w:hAnsi="Times New Roman" w:eastAsia="仿宋_GB2312"/>
          <w:color w:val="000000"/>
          <w:sz w:val="18"/>
          <w:szCs w:val="18"/>
        </w:rPr>
        <w:t>年度指标为上年度指标，其余为考核期指标。</w:t>
      </w:r>
    </w:p>
    <w:p>
      <w:pPr>
        <w:spacing w:line="572" w:lineRule="exact"/>
        <w:jc w:val="center"/>
        <w:textAlignment w:val="baseline"/>
        <w:rPr>
          <w:rFonts w:hint="eastAsia" w:ascii="Times New Roman" w:hAnsi="Times New Roman" w:eastAsia="方正小标宋_GBK"/>
          <w:color w:val="000000"/>
          <w:sz w:val="44"/>
          <w:szCs w:val="44"/>
        </w:rPr>
      </w:pPr>
    </w:p>
    <w:p>
      <w:pPr>
        <w:spacing w:line="572" w:lineRule="exact"/>
        <w:jc w:val="center"/>
        <w:textAlignment w:val="baseline"/>
        <w:rPr>
          <w:rFonts w:hint="eastAsia" w:ascii="Times New Roman" w:hAnsi="Times New Roman" w:eastAsia="方正小标宋_GBK"/>
          <w:color w:val="000000"/>
          <w:sz w:val="44"/>
          <w:szCs w:val="44"/>
        </w:rPr>
      </w:pPr>
      <w:r>
        <w:rPr>
          <w:rFonts w:ascii="Times New Roman" w:hAnsi="Times New Roman" w:eastAsia="方正小标宋_GBK"/>
          <w:color w:val="000000"/>
          <w:sz w:val="44"/>
          <w:szCs w:val="44"/>
        </w:rPr>
        <w:br w:type="page"/>
      </w:r>
    </w:p>
    <w:p>
      <w:pPr>
        <w:spacing w:line="572" w:lineRule="exact"/>
        <w:jc w:val="center"/>
        <w:textAlignment w:val="baseline"/>
        <w:rPr>
          <w:rFonts w:ascii="Times New Roman" w:hAnsi="Times New Roman" w:eastAsia="方正小标宋_GBK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/>
          <w:color w:val="000000"/>
          <w:sz w:val="44"/>
          <w:szCs w:val="44"/>
        </w:rPr>
        <w:t>洛阳市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新型研发机构绩效</w:t>
      </w:r>
      <w:r>
        <w:rPr>
          <w:rFonts w:ascii="Times New Roman" w:hAnsi="Times New Roman" w:eastAsia="方正小标宋_GBK"/>
          <w:color w:val="000000"/>
          <w:sz w:val="44"/>
          <w:szCs w:val="44"/>
          <w:lang w:val="en"/>
        </w:rPr>
        <w:t>考核</w:t>
      </w:r>
      <w:r>
        <w:rPr>
          <w:rFonts w:ascii="Times New Roman" w:hAnsi="Times New Roman" w:eastAsia="方正小标宋_GBK"/>
          <w:color w:val="000000"/>
          <w:sz w:val="44"/>
          <w:szCs w:val="44"/>
        </w:rPr>
        <w:t>指标体系</w:t>
      </w:r>
    </w:p>
    <w:p>
      <w:pPr>
        <w:spacing w:line="572" w:lineRule="exact"/>
        <w:jc w:val="center"/>
        <w:textAlignment w:val="baseline"/>
        <w:rPr>
          <w:rFonts w:hint="eastAsia" w:ascii="楷体_GB2312" w:hAnsi="方正楷体_GBK" w:eastAsia="楷体_GB2312" w:cs="方正楷体_GBK"/>
          <w:color w:val="000000"/>
          <w:sz w:val="32"/>
          <w:szCs w:val="32"/>
        </w:rPr>
      </w:pPr>
      <w:r>
        <w:rPr>
          <w:rFonts w:hint="eastAsia" w:ascii="楷体_GB2312" w:hAnsi="方正楷体_GBK" w:eastAsia="楷体_GB2312" w:cs="方正楷体_GBK"/>
          <w:color w:val="000000"/>
          <w:kern w:val="2"/>
          <w:sz w:val="32"/>
          <w:szCs w:val="32"/>
        </w:rPr>
        <w:t>（成果转化类）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1" w:type="dxa"/>
          <w:bottom w:w="0" w:type="dxa"/>
          <w:right w:w="11" w:type="dxa"/>
        </w:tblCellMar>
      </w:tblPr>
      <w:tblGrid>
        <w:gridCol w:w="622"/>
        <w:gridCol w:w="3117"/>
        <w:gridCol w:w="305"/>
        <w:gridCol w:w="417"/>
        <w:gridCol w:w="3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一级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指标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二级指标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分值上限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2"/>
                <w:sz w:val="20"/>
                <w:szCs w:val="20"/>
              </w:rPr>
              <w:t>计分办法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体制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机制</w:t>
            </w:r>
          </w:p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建立现代化管理制度，实行理事会（董事会）制度、成立学术委员会（专家委员会），且运行高效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ascii="Times New Roman" w:hAnsi="Times New Roman" w:eastAsia="仿宋_GB2312"/>
                <w:b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全面加强党的建设，包括设立党组织、开展活动等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  <w:t>条件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  <w:t>建设</w:t>
            </w:r>
          </w:p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  <w:t>（10）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专业化技术转移体系及成果转化体制机制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成果展示空间或线上成果展示平台建设情况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市级及以上科技企业孵化器（包括众创空间）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国家级、省级、市级科技企业孵化器分别1项4分、3分、2分；国家级、省级、市级众创空间分别1项3分、2分、1分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与市级及以上孵化载体（包括众创空间、科技企业孵化器、科技产业社区）、开发区战略合作情况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/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专家判断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成果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转化</w:t>
            </w:r>
          </w:p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（30）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国家重点实验室等国家级创新平台分支机构建设情况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1个5分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年度举办科技成果对接、高端论坛等活动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场次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3场次3分，每增（减）1场次加（扣）1分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年度转化科技成果数量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转化5项3分，每增（减）1项（扣）0.5分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累计</w:t>
            </w: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服务企业数量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家</w:t>
            </w: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/次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等于3家计3分，每增（减）1家加（扣）1分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技术交易收入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bCs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等于300万计3分，每增（减）50万加（扣）0.5分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孵化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企业</w:t>
            </w:r>
          </w:p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（50）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10家及以上满分，1家2分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创办孵化科技型企业（高新技术企业）及引进市外企业累计营业收入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1亿元以上满分，每500万元1分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94" w:hRule="atLeast"/>
          <w:jc w:val="center"/>
        </w:trPr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创办孵化科技型企业（高新技术企业）及引进市外企业新增纳税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万元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500万元满分，每100万元2分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52" w:hRule="atLeast"/>
          <w:jc w:val="center"/>
        </w:trPr>
        <w:tc>
          <w:tcPr>
            <w:tcW w:w="0" w:type="auto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氛围</w:t>
            </w:r>
          </w:p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营造</w:t>
            </w:r>
          </w:p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（5）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both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市级及以上新闻媒体宣传情况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pacing w:line="320" w:lineRule="exact"/>
              <w:jc w:val="center"/>
              <w:rPr>
                <w:rFonts w:ascii="Times New Roman" w:hAnsi="Times New Roman" w:eastAsia="仿宋_GB2312"/>
                <w:color w:val="000000"/>
                <w:kern w:val="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2"/>
                <w:sz w:val="20"/>
                <w:szCs w:val="20"/>
              </w:rPr>
              <w:t>人民日报、科技日报等国家媒体5分；河南日报、电视台等省媒体1次2分；洛阳日报、电视台等市媒体1次1分</w:t>
            </w:r>
          </w:p>
        </w:tc>
      </w:tr>
    </w:tbl>
    <w:p>
      <w:pPr>
        <w:spacing w:line="572" w:lineRule="exact"/>
        <w:ind w:firstLine="360" w:firstLineChars="200"/>
        <w:textAlignment w:val="baseline"/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</w:pPr>
      <w:r>
        <w:rPr>
          <w:rFonts w:hint="eastAsia" w:ascii="Times New Roman" w:hAnsi="Times New Roman" w:eastAsia="仿宋_GB2312"/>
          <w:color w:val="000000"/>
          <w:kern w:val="2"/>
          <w:sz w:val="18"/>
          <w:szCs w:val="18"/>
        </w:rPr>
        <w:t>备注：表中</w:t>
      </w:r>
      <w:r>
        <w:rPr>
          <w:rFonts w:hint="eastAsia" w:ascii="Times New Roman" w:hAnsi="Times New Roman" w:eastAsia="仿宋_GB2312"/>
          <w:color w:val="000000"/>
          <w:sz w:val="18"/>
          <w:szCs w:val="18"/>
        </w:rPr>
        <w:t>年度指标为上年度指标，其余为考核期指标。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2A3AAE-354D-4695-8688-75ADDAA01D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29F54C2-1F38-42C0-8C39-1D23655747B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方正公文小标宋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6C4A4639-8C3B-40AD-B011-2C6B93C94076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C424CDA7-E111-408B-92B9-B98CBCD4DA7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5C34B689-0A42-42DD-9BC0-A4E7FA6295BF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6" w:fontKey="{96311BB1-37C9-4E09-9DDF-7E0C121E1B7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15C25635"/>
    <w:rsid w:val="15C25635"/>
    <w:rsid w:val="28932C21"/>
    <w:rsid w:val="35577112"/>
    <w:rsid w:val="4EBC40BC"/>
    <w:rsid w:val="70460641"/>
    <w:rsid w:val="7112100E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7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paragraph" w:styleId="4">
    <w:name w:val="Body Text"/>
    <w:basedOn w:val="1"/>
    <w:next w:val="1"/>
    <w:qFormat/>
    <w:uiPriority w:val="0"/>
    <w:pPr>
      <w:widowControl w:val="0"/>
      <w:spacing w:before="40" w:after="40"/>
      <w:jc w:val="both"/>
    </w:pPr>
    <w:rPr>
      <w:rFonts w:hAnsi="Calibri"/>
      <w:b/>
      <w:kern w:val="2"/>
      <w:sz w:val="21"/>
      <w:szCs w:val="24"/>
    </w:rPr>
  </w:style>
  <w:style w:type="character" w:customStyle="1" w:styleId="7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  <w:style w:type="paragraph" w:customStyle="1" w:styleId="8">
    <w:name w:val="UserStyle_0"/>
    <w:autoRedefine/>
    <w:qFormat/>
    <w:uiPriority w:val="0"/>
    <w:pPr>
      <w:textAlignment w:val="baseline"/>
    </w:pPr>
    <w:rPr>
      <w:rFonts w:ascii="仿宋_GB2312" w:hAnsi="Calibri" w:eastAsia="仿宋_GB2312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2024-05-07T09:13:00Z</dcterms:created>
  <dc:creator>时霖</dc:creator>
  <cp:lastModifiedBy>时霖</cp:lastModifiedBy>
  <dcterms:modified xsi:type="dcterms:W3CDTF">2024-05-07T09:23:28Z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27E08C54FF9F4688B8D2F429791BE178_13</vt:lpwstr>
  </property>
</Properties>
</file>