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洛阳市电网工程项目承诺制实施办法适用范围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按照权限将属市县两级核准的电网工程项目试行承诺制改革，具体包括：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一、市级权限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涉及跨省、跨省辖市输电的±500千伏及以上直流项目和500千伏、750千伏、1000千伏交流项目，以及除开发区局域电网外的220千伏交流电项目核准；城市区（不包含偃师区、孟津区）非跨市110千伏及以下和开发区局域电网220千伏电网项目核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二、县级权限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各县、孟津区、偃师区非跨县（区）110千伏及以下和开发区局域网220千伏电网项目核准。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B52F6D2-3C98-4168-AD45-9AC8FAE170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299573F-847C-46E7-B552-F6ABC4E6CDB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A35408DC-6AC7-4549-A2C9-2EE71C011C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2B5F4E93"/>
    <w:rsid w:val="2B5F4E93"/>
    <w:rsid w:val="7690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6"/>
    <w:autoRedefine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325"/>
      <w:jc w:val="left"/>
    </w:pPr>
    <w:rPr>
      <w:rFonts w:ascii="宋体" w:hAnsi="宋体"/>
      <w:kern w:val="0"/>
      <w:sz w:val="31"/>
      <w:szCs w:val="31"/>
      <w:lang w:eastAsia="en-US"/>
    </w:rPr>
  </w:style>
  <w:style w:type="character" w:customStyle="1" w:styleId="6">
    <w:name w:val="标题 1 字符"/>
    <w:link w:val="3"/>
    <w:autoRedefine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2024-05-07T04:01:00Z</dcterms:created>
  <dc:creator>时霖</dc:creator>
  <cp:lastModifiedBy>时霖</cp:lastModifiedBy>
  <dcterms:modified xsi:type="dcterms:W3CDTF">2024-05-07T04:01:22Z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ADC0C746EFB64EAF89E186127127843D_11</vt:lpwstr>
  </property>
</Properties>
</file>