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spacing w:line="592" w:lineRule="exact"/>
        <w:ind w:left="0" w:leftChars="0" w:right="0"/>
        <w:textAlignment w:val="auto"/>
        <w:rPr>
          <w:rFonts w:hint="default" w:ascii="Times New Roman" w:hAnsi="Times New Roman" w:eastAsia="仿宋_GB2312" w:cs="Times New Roman"/>
          <w:b w:val="0"/>
          <w:bCs w:val="0"/>
          <w:color w:val="auto"/>
          <w:spacing w:val="0"/>
          <w:sz w:val="32"/>
          <w:szCs w:val="32"/>
          <w:lang w:eastAsia="zh-CN"/>
        </w:rPr>
      </w:pPr>
      <w:r>
        <w:rPr>
          <w:rFonts w:hint="default" w:ascii="Times New Roman" w:hAnsi="Times New Roman" w:eastAsia="黑体" w:cs="Times New Roman"/>
          <w:b w:val="0"/>
          <w:bCs w:val="0"/>
          <w:color w:val="auto"/>
          <w:spacing w:val="0"/>
          <w:sz w:val="32"/>
          <w:szCs w:val="32"/>
          <w:lang w:eastAsia="zh-CN"/>
        </w:rPr>
        <w:t>附件</w:t>
      </w:r>
      <w:r>
        <w:rPr>
          <w:rFonts w:hint="default" w:ascii="Times New Roman" w:hAnsi="Times New Roman" w:eastAsia="仿宋_GB2312" w:cs="Times New Roman"/>
          <w:b w:val="0"/>
          <w:bCs w:val="0"/>
          <w:color w:val="auto"/>
          <w:spacing w:val="0"/>
          <w:sz w:val="32"/>
          <w:szCs w:val="32"/>
          <w:lang w:val="en-US" w:eastAsia="zh-CN"/>
        </w:rPr>
        <w:t>2</w:t>
      </w:r>
    </w:p>
    <w:p>
      <w:pPr>
        <w:widowControl w:val="0"/>
        <w:wordWrap/>
        <w:adjustRightInd w:val="0"/>
        <w:snapToGrid w:val="0"/>
        <w:spacing w:line="592" w:lineRule="exact"/>
        <w:ind w:left="0" w:leftChars="0" w:right="0"/>
        <w:jc w:val="center"/>
        <w:textAlignment w:val="auto"/>
        <w:rPr>
          <w:rFonts w:hint="default" w:ascii="Times New Roman" w:hAnsi="Times New Roman" w:eastAsia="方正小标宋简体" w:cs="Times New Roman"/>
          <w:b w:val="0"/>
          <w:bCs w:val="0"/>
          <w:color w:val="auto"/>
          <w:spacing w:val="0"/>
          <w:sz w:val="44"/>
          <w:szCs w:val="44"/>
          <w:lang w:eastAsia="zh-CN"/>
        </w:rPr>
      </w:pPr>
    </w:p>
    <w:p>
      <w:pPr>
        <w:spacing w:line="590" w:lineRule="exact"/>
        <w:jc w:val="center"/>
        <w:rPr>
          <w:rFonts w:hint="default" w:ascii="方正小标宋_GBK" w:hAnsi="方正小标宋_GBK" w:eastAsia="方正小标宋_GBK" w:cs="方正小标宋_GBK"/>
          <w:color w:val="000000"/>
          <w:sz w:val="44"/>
          <w:szCs w:val="44"/>
          <w:shd w:val="clear" w:color="auto" w:fill="FFFFFF"/>
          <w:lang w:val="en-US" w:eastAsia="zh-CN"/>
        </w:rPr>
      </w:pPr>
      <w:bookmarkStart w:id="0" w:name="_GoBack"/>
      <w:r>
        <w:rPr>
          <w:rFonts w:hint="default" w:ascii="方正小标宋_GBK" w:hAnsi="方正小标宋_GBK" w:eastAsia="方正小标宋_GBK" w:cs="方正小标宋_GBK"/>
          <w:color w:val="000000"/>
          <w:sz w:val="44"/>
          <w:szCs w:val="44"/>
          <w:shd w:val="clear" w:color="auto" w:fill="FFFFFF"/>
          <w:lang w:val="en-US" w:eastAsia="zh-CN"/>
        </w:rPr>
        <w:t>伊川县老旧小区改造“日通报、周例会、</w:t>
      </w:r>
    </w:p>
    <w:p>
      <w:pPr>
        <w:spacing w:line="590" w:lineRule="exact"/>
        <w:jc w:val="center"/>
        <w:rPr>
          <w:rFonts w:hint="default" w:ascii="方正小标宋_GBK" w:hAnsi="方正小标宋_GBK" w:eastAsia="方正小标宋_GBK" w:cs="方正小标宋_GBK"/>
          <w:color w:val="000000"/>
          <w:sz w:val="44"/>
          <w:szCs w:val="44"/>
          <w:shd w:val="clear" w:color="auto" w:fill="FFFFFF"/>
          <w:lang w:val="en-US" w:eastAsia="zh-CN"/>
        </w:rPr>
      </w:pPr>
      <w:r>
        <w:rPr>
          <w:rFonts w:hint="default" w:ascii="方正小标宋_GBK" w:hAnsi="方正小标宋_GBK" w:eastAsia="方正小标宋_GBK" w:cs="方正小标宋_GBK"/>
          <w:color w:val="000000"/>
          <w:sz w:val="44"/>
          <w:szCs w:val="44"/>
          <w:shd w:val="clear" w:color="auto" w:fill="FFFFFF"/>
          <w:lang w:val="en-US" w:eastAsia="zh-CN"/>
        </w:rPr>
        <w:t>月观摩、季考评”工作推进机制实施办法</w:t>
      </w:r>
    </w:p>
    <w:bookmarkEnd w:id="0"/>
    <w:p>
      <w:pPr>
        <w:pStyle w:val="5"/>
        <w:widowControl w:val="0"/>
        <w:wordWrap/>
        <w:adjustRightInd w:val="0"/>
        <w:snapToGrid w:val="0"/>
        <w:spacing w:line="592" w:lineRule="exact"/>
        <w:ind w:left="0" w:leftChars="0" w:right="0"/>
        <w:textAlignment w:val="auto"/>
        <w:rPr>
          <w:rFonts w:hint="default" w:ascii="Times New Roman" w:hAnsi="Times New Roman" w:eastAsia="仿宋_GB2312" w:cs="Times New Roman"/>
          <w:b w:val="0"/>
          <w:bCs w:val="0"/>
          <w:color w:val="auto"/>
          <w:spacing w:val="0"/>
          <w:sz w:val="32"/>
          <w:szCs w:val="32"/>
          <w:lang w:val="en-US" w:eastAsia="zh-CN"/>
        </w:rPr>
      </w:pPr>
    </w:p>
    <w:p>
      <w:pPr>
        <w:pStyle w:val="7"/>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为深入贯彻落实</w:t>
      </w:r>
      <w:r>
        <w:rPr>
          <w:rFonts w:hint="default" w:ascii="仿宋" w:hAnsi="仿宋" w:eastAsia="仿宋" w:cs="仿宋"/>
          <w:b w:val="0"/>
          <w:bCs w:val="0"/>
          <w:color w:val="auto"/>
          <w:spacing w:val="0"/>
          <w:position w:val="0"/>
          <w:sz w:val="32"/>
          <w:szCs w:val="32"/>
        </w:rPr>
        <w:t>洛阳城市有机更新暨老旧小区改造</w:t>
      </w:r>
      <w:r>
        <w:rPr>
          <w:rFonts w:hint="default" w:ascii="仿宋" w:hAnsi="仿宋" w:eastAsia="仿宋" w:cs="仿宋"/>
          <w:b w:val="0"/>
          <w:bCs w:val="0"/>
          <w:color w:val="auto"/>
          <w:spacing w:val="0"/>
          <w:position w:val="0"/>
          <w:sz w:val="32"/>
          <w:szCs w:val="32"/>
          <w:lang w:val="en-US" w:eastAsia="zh-CN"/>
        </w:rPr>
        <w:t>工作</w:t>
      </w:r>
      <w:r>
        <w:rPr>
          <w:rFonts w:hint="default" w:ascii="仿宋" w:hAnsi="仿宋" w:eastAsia="仿宋" w:cs="仿宋"/>
          <w:b w:val="0"/>
          <w:bCs w:val="0"/>
          <w:color w:val="auto"/>
          <w:spacing w:val="0"/>
          <w:position w:val="0"/>
          <w:sz w:val="32"/>
          <w:szCs w:val="32"/>
        </w:rPr>
        <w:t>推进会</w:t>
      </w:r>
      <w:r>
        <w:rPr>
          <w:rFonts w:hint="default" w:ascii="仿宋" w:hAnsi="仿宋" w:eastAsia="仿宋" w:cs="仿宋"/>
          <w:b w:val="0"/>
          <w:bCs w:val="0"/>
          <w:color w:val="auto"/>
          <w:spacing w:val="0"/>
          <w:position w:val="0"/>
          <w:sz w:val="32"/>
          <w:szCs w:val="32"/>
          <w:lang w:eastAsia="zh-CN"/>
        </w:rPr>
        <w:t>精神，</w:t>
      </w:r>
      <w:r>
        <w:rPr>
          <w:rFonts w:hint="default" w:ascii="仿宋" w:hAnsi="仿宋" w:eastAsia="仿宋" w:cs="仿宋"/>
          <w:b w:val="0"/>
          <w:bCs w:val="0"/>
          <w:color w:val="auto"/>
          <w:spacing w:val="0"/>
          <w:position w:val="0"/>
          <w:sz w:val="32"/>
          <w:szCs w:val="32"/>
          <w:lang w:val="en-US" w:eastAsia="zh-CN"/>
        </w:rPr>
        <w:t>建立健全工作机制，</w:t>
      </w:r>
      <w:r>
        <w:rPr>
          <w:rFonts w:hint="default" w:ascii="仿宋" w:hAnsi="仿宋" w:eastAsia="仿宋" w:cs="仿宋"/>
          <w:b w:val="0"/>
          <w:bCs w:val="0"/>
          <w:color w:val="auto"/>
          <w:spacing w:val="0"/>
          <w:position w:val="0"/>
          <w:sz w:val="32"/>
          <w:szCs w:val="32"/>
          <w:lang w:eastAsia="zh-CN"/>
        </w:rPr>
        <w:t>推动老旧小区组团连片改造工作任务有力有序有效落实</w:t>
      </w:r>
      <w:r>
        <w:rPr>
          <w:rFonts w:hint="default" w:ascii="仿宋" w:hAnsi="仿宋" w:eastAsia="仿宋" w:cs="仿宋"/>
          <w:b w:val="0"/>
          <w:bCs w:val="0"/>
          <w:color w:val="auto"/>
          <w:spacing w:val="0"/>
          <w:position w:val="0"/>
          <w:sz w:val="32"/>
          <w:szCs w:val="32"/>
          <w:lang w:val="en-US" w:eastAsia="zh-CN"/>
        </w:rPr>
        <w:t>，特制定本实施办法。</w:t>
      </w:r>
    </w:p>
    <w:p>
      <w:pPr>
        <w:pStyle w:val="5"/>
        <w:widowControl w:val="0"/>
        <w:wordWrap/>
        <w:adjustRightInd w:val="0"/>
        <w:snapToGrid w:val="0"/>
        <w:spacing w:line="592" w:lineRule="exact"/>
        <w:ind w:left="0" w:leftChars="0" w:right="0"/>
        <w:textAlignment w:val="auto"/>
        <w:rPr>
          <w:rFonts w:hint="default" w:ascii="Times New Roman" w:hAnsi="Times New Roman" w:eastAsia="黑体" w:cs="Times New Roman"/>
          <w:b w:val="0"/>
          <w:bCs w:val="0"/>
          <w:snapToGrid w:val="0"/>
          <w:color w:val="auto"/>
          <w:spacing w:val="0"/>
          <w:sz w:val="32"/>
          <w:szCs w:val="32"/>
          <w:lang w:eastAsia="zh-CN"/>
        </w:rPr>
      </w:pPr>
      <w:r>
        <w:rPr>
          <w:rFonts w:hint="default" w:ascii="Times New Roman" w:hAnsi="Times New Roman" w:eastAsia="黑体" w:cs="Times New Roman"/>
          <w:b w:val="0"/>
          <w:bCs w:val="0"/>
          <w:snapToGrid w:val="0"/>
          <w:color w:val="auto"/>
          <w:spacing w:val="0"/>
          <w:sz w:val="32"/>
          <w:szCs w:val="32"/>
          <w:lang w:eastAsia="zh-CN"/>
        </w:rPr>
        <w:t>一、指导思想</w:t>
      </w:r>
    </w:p>
    <w:p>
      <w:pPr>
        <w:widowControl w:val="0"/>
        <w:wordWrap/>
        <w:adjustRightInd w:val="0"/>
        <w:snapToGrid w:val="0"/>
        <w:spacing w:line="592" w:lineRule="exact"/>
        <w:ind w:left="0" w:leftChars="0" w:right="0" w:firstLine="640" w:firstLineChars="200"/>
        <w:textAlignment w:val="auto"/>
        <w:rPr>
          <w:rFonts w:hint="default" w:ascii="Times New Roman" w:hAnsi="Times New Roman" w:eastAsia="仿宋_GB2312" w:cs="Times New Roman"/>
          <w:b w:val="0"/>
          <w:bCs w:val="0"/>
          <w:color w:val="auto"/>
          <w:spacing w:val="0"/>
          <w:sz w:val="32"/>
          <w:szCs w:val="32"/>
        </w:rPr>
      </w:pPr>
      <w:r>
        <w:rPr>
          <w:rFonts w:hint="default" w:ascii="仿宋" w:hAnsi="仿宋" w:eastAsia="仿宋" w:cs="仿宋"/>
          <w:b w:val="0"/>
          <w:bCs w:val="0"/>
          <w:color w:val="auto"/>
          <w:spacing w:val="0"/>
          <w:position w:val="0"/>
          <w:sz w:val="32"/>
          <w:szCs w:val="32"/>
          <w:lang w:val="en-US" w:eastAsia="zh-CN" w:bidi="ar-SA"/>
        </w:rPr>
        <w:t>以习近平新时代中国特色社会主义思想为指导，深入贯彻党的十九大和十九届二中、三中、四中、五中全会以及中央城市工作会议精神，认真落实洛阳城市有机更新暨老旧小区改造工作推进会部署要求，通过健全组织领导，明确目标任务，建立工作制度，细化工作措施，确保城镇老旧小区改造工作机制健全、制度措施有效，工作推进有力、任务完成圆满。</w:t>
      </w:r>
    </w:p>
    <w:p>
      <w:pPr>
        <w:pStyle w:val="5"/>
        <w:widowControl w:val="0"/>
        <w:wordWrap/>
        <w:adjustRightInd w:val="0"/>
        <w:snapToGrid w:val="0"/>
        <w:spacing w:line="592" w:lineRule="exact"/>
        <w:ind w:left="0" w:leftChars="0" w:right="0"/>
        <w:textAlignment w:val="auto"/>
        <w:rPr>
          <w:rFonts w:hint="default" w:ascii="Times New Roman" w:hAnsi="Times New Roman" w:eastAsia="黑体" w:cs="Times New Roman"/>
          <w:b w:val="0"/>
          <w:bCs w:val="0"/>
          <w:snapToGrid w:val="0"/>
          <w:color w:val="auto"/>
          <w:spacing w:val="0"/>
          <w:sz w:val="32"/>
          <w:szCs w:val="32"/>
          <w:lang w:val="en-US" w:eastAsia="zh-CN"/>
        </w:rPr>
      </w:pPr>
      <w:r>
        <w:rPr>
          <w:rFonts w:hint="default" w:ascii="Times New Roman" w:hAnsi="Times New Roman" w:eastAsia="黑体" w:cs="Times New Roman"/>
          <w:b w:val="0"/>
          <w:bCs w:val="0"/>
          <w:snapToGrid w:val="0"/>
          <w:color w:val="auto"/>
          <w:spacing w:val="0"/>
          <w:sz w:val="32"/>
          <w:szCs w:val="32"/>
          <w:lang w:val="en-US" w:eastAsia="zh-CN"/>
        </w:rPr>
        <w:t>二、工作目标</w:t>
      </w:r>
    </w:p>
    <w:p>
      <w:pPr>
        <w:pStyle w:val="7"/>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按照改造进度精准掌握、工作情况及时通报、重要问题快速解决、观摩引领提升标准的工作要求，建立“日通报、周例会、月观摩、季考评”工作推进机制，</w:t>
      </w:r>
      <w:r>
        <w:rPr>
          <w:rFonts w:hint="default" w:ascii="仿宋" w:hAnsi="仿宋" w:eastAsia="仿宋" w:cs="仿宋"/>
          <w:b w:val="0"/>
          <w:bCs w:val="0"/>
          <w:color w:val="auto"/>
          <w:spacing w:val="0"/>
          <w:position w:val="0"/>
          <w:sz w:val="32"/>
          <w:szCs w:val="32"/>
          <w:lang w:eastAsia="zh-CN"/>
        </w:rPr>
        <w:t>督促县老旧小区改造提质工作领导小组各成员单位，依据会议工作要求、改造方案相关内容，严格履行工作职责、切实形成工作合力，</w:t>
      </w:r>
      <w:r>
        <w:rPr>
          <w:rFonts w:hint="default" w:ascii="仿宋" w:hAnsi="仿宋" w:eastAsia="仿宋" w:cs="仿宋"/>
          <w:b w:val="0"/>
          <w:bCs w:val="0"/>
          <w:color w:val="auto"/>
          <w:spacing w:val="0"/>
          <w:position w:val="0"/>
          <w:sz w:val="32"/>
          <w:szCs w:val="32"/>
          <w:lang w:val="en-US" w:eastAsia="zh-CN"/>
        </w:rPr>
        <w:t>落细落实</w:t>
      </w:r>
      <w:r>
        <w:rPr>
          <w:rFonts w:hint="default" w:ascii="仿宋" w:hAnsi="仿宋" w:eastAsia="仿宋" w:cs="仿宋"/>
          <w:b w:val="0"/>
          <w:bCs w:val="0"/>
          <w:color w:val="auto"/>
          <w:spacing w:val="0"/>
          <w:position w:val="0"/>
          <w:sz w:val="32"/>
          <w:szCs w:val="32"/>
          <w:lang w:eastAsia="zh-CN"/>
        </w:rPr>
        <w:t>洛阳城市有机更新暨老旧小区改造</w:t>
      </w:r>
      <w:r>
        <w:rPr>
          <w:rFonts w:hint="default" w:ascii="仿宋" w:hAnsi="仿宋" w:eastAsia="仿宋" w:cs="仿宋"/>
          <w:b w:val="0"/>
          <w:bCs w:val="0"/>
          <w:color w:val="auto"/>
          <w:spacing w:val="0"/>
          <w:position w:val="0"/>
          <w:sz w:val="32"/>
          <w:szCs w:val="32"/>
          <w:lang w:val="en-US" w:eastAsia="zh-CN"/>
        </w:rPr>
        <w:t>工作</w:t>
      </w:r>
      <w:r>
        <w:rPr>
          <w:rFonts w:hint="default" w:ascii="仿宋" w:hAnsi="仿宋" w:eastAsia="仿宋" w:cs="仿宋"/>
          <w:b w:val="0"/>
          <w:bCs w:val="0"/>
          <w:color w:val="auto"/>
          <w:spacing w:val="0"/>
          <w:position w:val="0"/>
          <w:sz w:val="32"/>
          <w:szCs w:val="32"/>
          <w:lang w:eastAsia="zh-CN"/>
        </w:rPr>
        <w:t>推进会部署安排</w:t>
      </w:r>
      <w:r>
        <w:rPr>
          <w:rFonts w:hint="default" w:ascii="仿宋" w:hAnsi="仿宋" w:eastAsia="仿宋" w:cs="仿宋"/>
          <w:b w:val="0"/>
          <w:bCs w:val="0"/>
          <w:color w:val="auto"/>
          <w:spacing w:val="0"/>
          <w:position w:val="0"/>
          <w:sz w:val="32"/>
          <w:szCs w:val="32"/>
          <w:lang w:val="en-US" w:eastAsia="zh-CN"/>
        </w:rPr>
        <w:t>，以日促周、以周促月、以月促季，</w:t>
      </w:r>
      <w:r>
        <w:rPr>
          <w:rFonts w:hint="default" w:ascii="仿宋" w:hAnsi="仿宋" w:eastAsia="仿宋" w:cs="仿宋"/>
          <w:b w:val="0"/>
          <w:bCs w:val="0"/>
          <w:color w:val="auto"/>
          <w:spacing w:val="0"/>
          <w:position w:val="0"/>
          <w:sz w:val="32"/>
          <w:szCs w:val="32"/>
          <w:lang w:eastAsia="zh-CN"/>
        </w:rPr>
        <w:t>确保改造进度按节点推进，确保年度改造任务</w:t>
      </w:r>
      <w:r>
        <w:rPr>
          <w:rFonts w:hint="default" w:ascii="仿宋" w:hAnsi="仿宋" w:eastAsia="仿宋" w:cs="仿宋"/>
          <w:b w:val="0"/>
          <w:bCs w:val="0"/>
          <w:color w:val="auto"/>
          <w:spacing w:val="0"/>
          <w:position w:val="0"/>
          <w:sz w:val="32"/>
          <w:szCs w:val="32"/>
          <w:lang w:val="en-US" w:eastAsia="zh-CN"/>
        </w:rPr>
        <w:t>圆满完成。</w:t>
      </w:r>
    </w:p>
    <w:p>
      <w:pPr>
        <w:pStyle w:val="7"/>
        <w:widowControl w:val="0"/>
        <w:wordWrap/>
        <w:adjustRightInd w:val="0"/>
        <w:snapToGrid w:val="0"/>
        <w:spacing w:before="0" w:line="592" w:lineRule="exact"/>
        <w:ind w:left="0" w:leftChars="0" w:right="0" w:firstLine="640" w:firstLineChars="200"/>
        <w:jc w:val="both"/>
        <w:textAlignment w:val="auto"/>
        <w:outlineLvl w:val="9"/>
        <w:rPr>
          <w:rFonts w:hint="default" w:ascii="Times New Roman" w:hAnsi="Times New Roman" w:eastAsia="仿宋_GB2312" w:cs="Times New Roman"/>
          <w:b w:val="0"/>
          <w:bCs w:val="0"/>
          <w:snapToGrid w:val="0"/>
          <w:color w:val="auto"/>
          <w:spacing w:val="0"/>
          <w:sz w:val="32"/>
          <w:szCs w:val="32"/>
          <w:lang w:val="en-US" w:eastAsia="zh-CN"/>
        </w:rPr>
      </w:pPr>
      <w:r>
        <w:rPr>
          <w:rFonts w:hint="default" w:ascii="仿宋" w:hAnsi="仿宋" w:eastAsia="仿宋" w:cs="仿宋"/>
          <w:b w:val="0"/>
          <w:bCs w:val="0"/>
          <w:color w:val="auto"/>
          <w:spacing w:val="0"/>
          <w:position w:val="0"/>
          <w:sz w:val="32"/>
          <w:szCs w:val="32"/>
          <w:lang w:val="en-US" w:eastAsia="zh-CN"/>
        </w:rPr>
        <w:t>成</w:t>
      </w:r>
      <w:r>
        <w:rPr>
          <w:rFonts w:hint="default" w:ascii="仿宋" w:hAnsi="仿宋" w:eastAsia="仿宋" w:cs="仿宋"/>
          <w:b w:val="0"/>
          <w:bCs w:val="0"/>
          <w:color w:val="auto"/>
          <w:spacing w:val="0"/>
          <w:position w:val="0"/>
          <w:sz w:val="32"/>
          <w:szCs w:val="32"/>
          <w:lang w:eastAsia="zh-CN"/>
        </w:rPr>
        <w:t>立</w:t>
      </w:r>
      <w:r>
        <w:rPr>
          <w:rFonts w:hint="default" w:ascii="仿宋" w:hAnsi="仿宋" w:eastAsia="仿宋" w:cs="仿宋"/>
          <w:b w:val="0"/>
          <w:bCs w:val="0"/>
          <w:color w:val="auto"/>
          <w:spacing w:val="0"/>
          <w:position w:val="0"/>
          <w:sz w:val="32"/>
          <w:szCs w:val="32"/>
          <w:lang w:val="en-US" w:eastAsia="zh-CN"/>
        </w:rPr>
        <w:t>伊川县</w:t>
      </w:r>
      <w:r>
        <w:rPr>
          <w:rFonts w:hint="default" w:ascii="仿宋" w:hAnsi="仿宋" w:eastAsia="仿宋" w:cs="仿宋"/>
          <w:b w:val="0"/>
          <w:bCs w:val="0"/>
          <w:color w:val="auto"/>
          <w:spacing w:val="0"/>
          <w:position w:val="0"/>
          <w:sz w:val="32"/>
          <w:szCs w:val="32"/>
          <w:lang w:eastAsia="zh-CN"/>
        </w:rPr>
        <w:t>老旧小区组团连片改造</w:t>
      </w:r>
      <w:r>
        <w:rPr>
          <w:rFonts w:hint="default" w:ascii="仿宋" w:hAnsi="仿宋" w:eastAsia="仿宋" w:cs="仿宋"/>
          <w:b w:val="0"/>
          <w:bCs w:val="0"/>
          <w:color w:val="auto"/>
          <w:spacing w:val="0"/>
          <w:position w:val="0"/>
          <w:sz w:val="32"/>
          <w:szCs w:val="32"/>
          <w:lang w:val="en-US" w:eastAsia="zh-CN"/>
        </w:rPr>
        <w:t>“日通报、周例会、月观摩、季考评”工作领导小组，全面负责</w:t>
      </w:r>
      <w:r>
        <w:rPr>
          <w:rFonts w:hint="default" w:ascii="仿宋" w:hAnsi="仿宋" w:eastAsia="仿宋" w:cs="仿宋"/>
          <w:b w:val="0"/>
          <w:bCs w:val="0"/>
          <w:color w:val="auto"/>
          <w:spacing w:val="0"/>
          <w:position w:val="0"/>
          <w:sz w:val="32"/>
          <w:szCs w:val="32"/>
          <w:lang w:eastAsia="zh-CN"/>
        </w:rPr>
        <w:t>伊川县老旧小区组团连片改造</w:t>
      </w:r>
      <w:r>
        <w:rPr>
          <w:rFonts w:hint="default" w:ascii="仿宋" w:hAnsi="仿宋" w:eastAsia="仿宋" w:cs="仿宋"/>
          <w:b w:val="0"/>
          <w:bCs w:val="0"/>
          <w:color w:val="auto"/>
          <w:spacing w:val="0"/>
          <w:position w:val="0"/>
          <w:sz w:val="32"/>
          <w:szCs w:val="32"/>
          <w:lang w:val="en-US" w:eastAsia="zh-CN"/>
        </w:rPr>
        <w:t>工作机制建立完善、方案制定和督导落实工作。由分管县领导任组长，县住建局、城关街道办事处等主要负责同志任副组长，成员由县纪委、组织部、宣传部、督查局、政府办、住建局、城关街道办等单位主要负责同志组成。</w:t>
      </w:r>
    </w:p>
    <w:p>
      <w:pPr>
        <w:pStyle w:val="5"/>
        <w:widowControl w:val="0"/>
        <w:wordWrap/>
        <w:adjustRightInd w:val="0"/>
        <w:snapToGrid w:val="0"/>
        <w:spacing w:line="592" w:lineRule="exact"/>
        <w:ind w:left="0" w:leftChars="0" w:right="0"/>
        <w:textAlignment w:val="auto"/>
        <w:rPr>
          <w:rFonts w:hint="default" w:ascii="Times New Roman" w:hAnsi="Times New Roman" w:eastAsia="黑体" w:cs="Times New Roman"/>
          <w:b w:val="0"/>
          <w:bCs w:val="0"/>
          <w:snapToGrid w:val="0"/>
          <w:color w:val="auto"/>
          <w:spacing w:val="0"/>
          <w:sz w:val="32"/>
          <w:szCs w:val="32"/>
          <w:lang w:val="en-US" w:eastAsia="zh-CN"/>
        </w:rPr>
      </w:pPr>
      <w:r>
        <w:rPr>
          <w:rFonts w:hint="default" w:ascii="Times New Roman" w:hAnsi="Times New Roman" w:eastAsia="黑体" w:cs="Times New Roman"/>
          <w:b w:val="0"/>
          <w:bCs w:val="0"/>
          <w:snapToGrid w:val="0"/>
          <w:color w:val="auto"/>
          <w:spacing w:val="0"/>
          <w:sz w:val="32"/>
          <w:szCs w:val="32"/>
          <w:lang w:val="en-US" w:eastAsia="zh-CN"/>
        </w:rPr>
        <w:t>三、主要内容</w:t>
      </w:r>
    </w:p>
    <w:p>
      <w:pPr>
        <w:widowControl w:val="0"/>
        <w:wordWrap/>
        <w:spacing w:line="600" w:lineRule="exact"/>
        <w:ind w:firstLine="640" w:firstLineChars="200"/>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（一）日通报工作机制</w:t>
      </w:r>
    </w:p>
    <w:p>
      <w:pPr>
        <w:pStyle w:val="7"/>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建立日通报工作机制。老旧小区改造提质工作领导小组办公室（县住建局）负责日通报日常工作，各小区主管单位、工程各标段施工单位以及供电、通信、供热、供气、供水相关企业，指定专人专报，每天下午17：00前向老旧小区改造提质工作领导小组办公室报送</w:t>
      </w:r>
      <w:r>
        <w:rPr>
          <w:rFonts w:hint="default" w:ascii="仿宋" w:hAnsi="仿宋" w:eastAsia="仿宋" w:cs="仿宋"/>
          <w:b w:val="0"/>
          <w:bCs w:val="0"/>
          <w:color w:val="auto"/>
          <w:spacing w:val="0"/>
          <w:position w:val="0"/>
          <w:sz w:val="32"/>
          <w:szCs w:val="32"/>
          <w:lang w:eastAsia="zh-CN"/>
        </w:rPr>
        <w:t>每日工作开展情况、好的做法和需要协调解决的事项等，报送形式可以为微信工作群、邮箱，</w:t>
      </w:r>
      <w:r>
        <w:rPr>
          <w:rFonts w:hint="default" w:ascii="仿宋" w:hAnsi="仿宋" w:eastAsia="仿宋" w:cs="仿宋"/>
          <w:b w:val="0"/>
          <w:bCs w:val="0"/>
          <w:color w:val="auto"/>
          <w:spacing w:val="0"/>
          <w:position w:val="0"/>
          <w:sz w:val="32"/>
          <w:szCs w:val="32"/>
          <w:lang w:val="en-US" w:eastAsia="zh-CN"/>
        </w:rPr>
        <w:t>老旧小区改造提质工作领导小组办公室负责建立工作台账，收集汇总进展情况，每天下午19：00前在微信工作群中进行通报。</w:t>
      </w:r>
    </w:p>
    <w:p>
      <w:pPr>
        <w:widowControl w:val="0"/>
        <w:wordWrap/>
        <w:spacing w:line="600" w:lineRule="exact"/>
        <w:ind w:firstLine="640" w:firstLineChars="200"/>
        <w:textAlignment w:val="auto"/>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w:t>
      </w:r>
      <w:r>
        <w:rPr>
          <w:rFonts w:hint="default" w:ascii="方正楷体_GBK" w:hAnsi="方正楷体_GBK" w:eastAsia="方正楷体_GBK" w:cs="方正楷体_GBK"/>
          <w:sz w:val="32"/>
          <w:szCs w:val="32"/>
          <w:lang w:val="en-US" w:eastAsia="zh-CN"/>
        </w:rPr>
        <w:t>周例会工作机制</w:t>
      </w:r>
    </w:p>
    <w:p>
      <w:pPr>
        <w:pStyle w:val="7"/>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建立周例会工作机制。由县政府办负责，城关街道办事处和老旧小区改造提质工作领导小组办公室（住建局）配合，组织老旧小区改造相关单位每周至少召开一次周例会；会议由县政府办组织和通知，城关街道办事处主持，参会人员为老旧小区改造相关单位主抓副职，会议常规议题为各相关单位汇报工作进展、县住建局通报总结工作开展情况并及时将上级有关指示精神和工作要求传达至各相关单位；会后由县住建局负责编辑一期工作简报呈县四大班子主要领导并报送市相关部门。</w:t>
      </w:r>
    </w:p>
    <w:p>
      <w:pPr>
        <w:widowControl w:val="0"/>
        <w:wordWrap/>
        <w:spacing w:line="600" w:lineRule="exact"/>
        <w:ind w:firstLine="640" w:firstLineChars="200"/>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（三）月观摩工作机制</w:t>
      </w:r>
    </w:p>
    <w:p>
      <w:pPr>
        <w:pStyle w:val="7"/>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建立月观摩工作机制。由县老旧小区改造提质工作领导小组负责，在全县范围内遴选改造进展明显、示范效应突出、</w:t>
      </w:r>
      <w:r>
        <w:rPr>
          <w:rFonts w:hint="default" w:ascii="仿宋" w:hAnsi="仿宋" w:eastAsia="仿宋" w:cs="仿宋"/>
          <w:b w:val="0"/>
          <w:bCs w:val="0"/>
          <w:color w:val="auto"/>
          <w:spacing w:val="0"/>
          <w:position w:val="0"/>
          <w:sz w:val="32"/>
          <w:szCs w:val="32"/>
        </w:rPr>
        <w:t>经验可复制可推广的</w:t>
      </w:r>
      <w:r>
        <w:rPr>
          <w:rFonts w:hint="default" w:ascii="仿宋" w:hAnsi="仿宋" w:eastAsia="仿宋" w:cs="仿宋"/>
          <w:b w:val="0"/>
          <w:bCs w:val="0"/>
          <w:color w:val="auto"/>
          <w:spacing w:val="0"/>
          <w:position w:val="0"/>
          <w:sz w:val="32"/>
          <w:szCs w:val="32"/>
          <w:lang w:val="en-US" w:eastAsia="zh-CN"/>
        </w:rPr>
        <w:t>项目，选定观摩项目，制定观摩方案，明确观摩路线，统筹安排时间，每月组织一次全体观摩活动，所有老旧小区改造相关单位全部参加。参与观摩的</w:t>
      </w:r>
      <w:r>
        <w:rPr>
          <w:rFonts w:hint="default" w:ascii="仿宋" w:hAnsi="仿宋" w:eastAsia="仿宋" w:cs="仿宋"/>
          <w:b w:val="0"/>
          <w:bCs w:val="0"/>
          <w:color w:val="auto"/>
          <w:spacing w:val="0"/>
          <w:position w:val="0"/>
          <w:sz w:val="32"/>
          <w:szCs w:val="32"/>
          <w:lang w:eastAsia="zh-CN"/>
        </w:rPr>
        <w:t>相关单位</w:t>
      </w:r>
      <w:r>
        <w:rPr>
          <w:rFonts w:hint="default" w:ascii="仿宋" w:hAnsi="仿宋" w:eastAsia="仿宋" w:cs="仿宋"/>
          <w:b w:val="0"/>
          <w:bCs w:val="0"/>
          <w:color w:val="auto"/>
          <w:spacing w:val="0"/>
          <w:position w:val="0"/>
          <w:sz w:val="32"/>
          <w:szCs w:val="32"/>
          <w:lang w:val="en-US" w:eastAsia="zh-CN"/>
        </w:rPr>
        <w:t>要通过观摩活动总结工作经验、发现矛盾问题，完善工作措施、提出改进意见，不断提高推进下步工作成效。</w:t>
      </w:r>
    </w:p>
    <w:p>
      <w:pPr>
        <w:widowControl w:val="0"/>
        <w:wordWrap/>
        <w:spacing w:line="600" w:lineRule="exact"/>
        <w:ind w:firstLine="640" w:firstLineChars="200"/>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（四）季考评工作机制</w:t>
      </w:r>
    </w:p>
    <w:p>
      <w:pPr>
        <w:pStyle w:val="7"/>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仿宋" w:hAnsi="仿宋" w:eastAsia="仿宋" w:cs="仿宋"/>
          <w:b w:val="0"/>
          <w:bCs w:val="0"/>
          <w:color w:val="auto"/>
          <w:spacing w:val="0"/>
          <w:position w:val="0"/>
          <w:sz w:val="32"/>
          <w:szCs w:val="32"/>
          <w:lang w:val="en-US" w:eastAsia="zh-CN"/>
        </w:rPr>
        <w:t>建立季考评工作机制。由县老旧小区改造提质工作领导小组负责，县纪委、组织部、宣传部、督查局，领导小组办公室（住建局）具体落实。主要是根据县委、县政府工作部署和实施方案要求，</w:t>
      </w:r>
      <w:r>
        <w:rPr>
          <w:rFonts w:hint="default" w:ascii="仿宋" w:hAnsi="仿宋" w:eastAsia="仿宋" w:cs="仿宋"/>
          <w:b w:val="0"/>
          <w:bCs w:val="0"/>
          <w:color w:val="auto"/>
          <w:spacing w:val="0"/>
          <w:position w:val="0"/>
          <w:sz w:val="32"/>
          <w:szCs w:val="32"/>
        </w:rPr>
        <w:t>采取听取汇报、</w:t>
      </w:r>
      <w:r>
        <w:rPr>
          <w:rFonts w:hint="default" w:ascii="仿宋" w:hAnsi="仿宋" w:eastAsia="仿宋" w:cs="仿宋"/>
          <w:b w:val="0"/>
          <w:bCs w:val="0"/>
          <w:color w:val="auto"/>
          <w:spacing w:val="0"/>
          <w:position w:val="0"/>
          <w:sz w:val="32"/>
          <w:szCs w:val="32"/>
          <w:lang w:val="en-US" w:eastAsia="zh-CN"/>
        </w:rPr>
        <w:t>查阅</w:t>
      </w:r>
      <w:r>
        <w:rPr>
          <w:rFonts w:hint="default" w:ascii="仿宋" w:hAnsi="仿宋" w:eastAsia="仿宋" w:cs="仿宋"/>
          <w:b w:val="0"/>
          <w:bCs w:val="0"/>
          <w:color w:val="auto"/>
          <w:spacing w:val="0"/>
          <w:position w:val="0"/>
          <w:sz w:val="32"/>
          <w:szCs w:val="32"/>
        </w:rPr>
        <w:t>资料、现场检查、座谈了解</w:t>
      </w:r>
      <w:r>
        <w:rPr>
          <w:rFonts w:hint="default" w:ascii="仿宋" w:hAnsi="仿宋" w:eastAsia="仿宋" w:cs="仿宋"/>
          <w:b w:val="0"/>
          <w:bCs w:val="0"/>
          <w:color w:val="auto"/>
          <w:spacing w:val="0"/>
          <w:position w:val="0"/>
          <w:sz w:val="32"/>
          <w:szCs w:val="32"/>
          <w:lang w:eastAsia="zh-CN"/>
        </w:rPr>
        <w:t>、</w:t>
      </w:r>
      <w:r>
        <w:rPr>
          <w:rFonts w:hint="default" w:ascii="仿宋" w:hAnsi="仿宋" w:eastAsia="仿宋" w:cs="仿宋"/>
          <w:b w:val="0"/>
          <w:bCs w:val="0"/>
          <w:color w:val="auto"/>
          <w:spacing w:val="0"/>
          <w:position w:val="0"/>
          <w:sz w:val="32"/>
          <w:szCs w:val="32"/>
          <w:lang w:val="en-US" w:eastAsia="zh-CN"/>
        </w:rPr>
        <w:t>发放调查表</w:t>
      </w:r>
      <w:r>
        <w:rPr>
          <w:rFonts w:hint="default" w:ascii="仿宋" w:hAnsi="仿宋" w:eastAsia="仿宋" w:cs="仿宋"/>
          <w:b w:val="0"/>
          <w:bCs w:val="0"/>
          <w:color w:val="auto"/>
          <w:spacing w:val="0"/>
          <w:position w:val="0"/>
          <w:sz w:val="32"/>
          <w:szCs w:val="32"/>
        </w:rPr>
        <w:t>等方式，</w:t>
      </w:r>
      <w:r>
        <w:rPr>
          <w:rFonts w:hint="default" w:ascii="仿宋" w:hAnsi="仿宋" w:eastAsia="仿宋" w:cs="仿宋"/>
          <w:b w:val="0"/>
          <w:bCs w:val="0"/>
          <w:color w:val="auto"/>
          <w:spacing w:val="0"/>
          <w:position w:val="0"/>
          <w:sz w:val="32"/>
          <w:szCs w:val="32"/>
          <w:lang w:val="en-US" w:eastAsia="zh-CN"/>
        </w:rPr>
        <w:t>考评各老旧小区主管单位在老旧小区改造工作中履行职责、发挥作用、工作成效等；考评各施工单位和专营其企业工程进度</w:t>
      </w:r>
      <w:r>
        <w:rPr>
          <w:rFonts w:hint="default" w:ascii="仿宋" w:hAnsi="仿宋" w:eastAsia="仿宋" w:cs="仿宋"/>
          <w:b w:val="0"/>
          <w:bCs w:val="0"/>
          <w:color w:val="auto"/>
          <w:spacing w:val="0"/>
          <w:position w:val="0"/>
          <w:sz w:val="32"/>
          <w:szCs w:val="32"/>
          <w:lang w:eastAsia="zh-CN"/>
        </w:rPr>
        <w:t>等。</w:t>
      </w:r>
      <w:r>
        <w:rPr>
          <w:rFonts w:hint="default" w:ascii="仿宋" w:hAnsi="仿宋" w:eastAsia="仿宋" w:cs="仿宋"/>
          <w:b w:val="0"/>
          <w:bCs w:val="0"/>
          <w:color w:val="auto"/>
          <w:spacing w:val="0"/>
          <w:position w:val="0"/>
          <w:sz w:val="32"/>
          <w:szCs w:val="32"/>
          <w:lang w:val="en-US" w:eastAsia="zh-CN"/>
        </w:rPr>
        <w:t>对工作举措实、履行职能好、成效突出的单位进行通报表扬；</w:t>
      </w:r>
      <w:r>
        <w:rPr>
          <w:rFonts w:hint="default" w:ascii="仿宋" w:hAnsi="仿宋" w:eastAsia="仿宋" w:cs="仿宋"/>
          <w:b w:val="0"/>
          <w:bCs w:val="0"/>
          <w:color w:val="auto"/>
          <w:spacing w:val="0"/>
          <w:position w:val="0"/>
          <w:sz w:val="32"/>
          <w:szCs w:val="32"/>
        </w:rPr>
        <w:t>对</w:t>
      </w:r>
      <w:r>
        <w:rPr>
          <w:rFonts w:hint="default" w:ascii="仿宋" w:hAnsi="仿宋" w:eastAsia="仿宋" w:cs="仿宋"/>
          <w:b w:val="0"/>
          <w:bCs w:val="0"/>
          <w:color w:val="auto"/>
          <w:spacing w:val="0"/>
          <w:position w:val="0"/>
          <w:sz w:val="32"/>
          <w:szCs w:val="32"/>
          <w:lang w:val="en-US" w:eastAsia="zh-CN"/>
        </w:rPr>
        <w:t>工作落实不到位、工作举措不得力、推进</w:t>
      </w:r>
      <w:r>
        <w:rPr>
          <w:rFonts w:hint="default" w:ascii="仿宋" w:hAnsi="仿宋" w:eastAsia="仿宋" w:cs="仿宋"/>
          <w:b w:val="0"/>
          <w:bCs w:val="0"/>
          <w:color w:val="auto"/>
          <w:spacing w:val="0"/>
          <w:position w:val="0"/>
          <w:sz w:val="32"/>
          <w:szCs w:val="32"/>
        </w:rPr>
        <w:t>缓慢</w:t>
      </w:r>
      <w:r>
        <w:rPr>
          <w:rFonts w:hint="default" w:ascii="仿宋" w:hAnsi="仿宋" w:eastAsia="仿宋" w:cs="仿宋"/>
          <w:b w:val="0"/>
          <w:bCs w:val="0"/>
          <w:color w:val="auto"/>
          <w:spacing w:val="0"/>
          <w:position w:val="0"/>
          <w:sz w:val="32"/>
          <w:szCs w:val="32"/>
          <w:lang w:val="en-US" w:eastAsia="zh-CN"/>
        </w:rPr>
        <w:t>的单位进行</w:t>
      </w:r>
      <w:r>
        <w:rPr>
          <w:rFonts w:hint="default" w:ascii="仿宋" w:hAnsi="仿宋" w:eastAsia="仿宋" w:cs="仿宋"/>
          <w:b w:val="0"/>
          <w:bCs w:val="0"/>
          <w:color w:val="auto"/>
          <w:spacing w:val="0"/>
          <w:position w:val="0"/>
          <w:sz w:val="32"/>
          <w:szCs w:val="32"/>
        </w:rPr>
        <w:t>通报批评</w:t>
      </w:r>
      <w:r>
        <w:rPr>
          <w:rFonts w:hint="default" w:ascii="仿宋" w:hAnsi="仿宋" w:eastAsia="仿宋" w:cs="仿宋"/>
          <w:b w:val="0"/>
          <w:bCs w:val="0"/>
          <w:color w:val="auto"/>
          <w:spacing w:val="0"/>
          <w:position w:val="0"/>
          <w:sz w:val="32"/>
          <w:szCs w:val="32"/>
          <w:lang w:eastAsia="zh-CN"/>
        </w:rPr>
        <w:t>。</w:t>
      </w:r>
      <w:r>
        <w:rPr>
          <w:rFonts w:hint="default" w:ascii="仿宋" w:hAnsi="仿宋" w:eastAsia="仿宋" w:cs="仿宋"/>
          <w:b w:val="0"/>
          <w:bCs w:val="0"/>
          <w:color w:val="auto"/>
          <w:spacing w:val="0"/>
          <w:position w:val="0"/>
          <w:sz w:val="32"/>
          <w:szCs w:val="32"/>
          <w:lang w:val="en-US" w:eastAsia="zh-CN"/>
        </w:rPr>
        <w:t>考核结果向社会公布，并作为评定各单位年度综合考核等次的重要参考。</w:t>
      </w:r>
    </w:p>
    <w:p>
      <w:pPr>
        <w:pStyle w:val="5"/>
        <w:widowControl w:val="0"/>
        <w:wordWrap/>
        <w:adjustRightInd w:val="0"/>
        <w:snapToGrid w:val="0"/>
        <w:spacing w:line="592" w:lineRule="exact"/>
        <w:ind w:left="0" w:leftChars="0" w:right="0"/>
        <w:textAlignment w:val="auto"/>
        <w:rPr>
          <w:rFonts w:hint="default" w:ascii="Times New Roman" w:hAnsi="Times New Roman" w:eastAsia="黑体" w:cs="Times New Roman"/>
          <w:b w:val="0"/>
          <w:bCs w:val="0"/>
          <w:color w:val="auto"/>
          <w:spacing w:val="0"/>
          <w:sz w:val="32"/>
          <w:szCs w:val="32"/>
          <w:lang w:val="en-US" w:eastAsia="zh-CN"/>
        </w:rPr>
      </w:pPr>
      <w:r>
        <w:rPr>
          <w:rFonts w:hint="default" w:ascii="Times New Roman" w:hAnsi="Times New Roman" w:eastAsia="黑体" w:cs="Times New Roman"/>
          <w:b w:val="0"/>
          <w:bCs w:val="0"/>
          <w:color w:val="auto"/>
          <w:spacing w:val="0"/>
          <w:sz w:val="32"/>
          <w:szCs w:val="32"/>
          <w:lang w:val="en-US" w:eastAsia="zh-CN"/>
        </w:rPr>
        <w:t>四、工作要求</w:t>
      </w:r>
    </w:p>
    <w:p>
      <w:pPr>
        <w:pStyle w:val="7"/>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方正楷体_GBK" w:hAnsi="方正楷体_GBK" w:eastAsia="方正楷体_GBK" w:cs="方正楷体_GBK"/>
          <w:sz w:val="32"/>
          <w:szCs w:val="32"/>
          <w:lang w:val="en-US" w:eastAsia="zh-CN" w:bidi="ar-SA"/>
        </w:rPr>
        <w:t>（一）提升政治站位。</w:t>
      </w:r>
      <w:r>
        <w:rPr>
          <w:rFonts w:hint="default" w:ascii="仿宋" w:hAnsi="仿宋" w:eastAsia="仿宋" w:cs="仿宋"/>
          <w:b w:val="0"/>
          <w:bCs w:val="0"/>
          <w:color w:val="auto"/>
          <w:spacing w:val="0"/>
          <w:position w:val="0"/>
          <w:sz w:val="32"/>
          <w:szCs w:val="32"/>
          <w:lang w:val="en-US" w:eastAsia="zh-CN"/>
        </w:rPr>
        <w:t>各有关单位要进一步提升思想站位，将思想统一到县委、县政府的工作部署上来，站在讲政治的高度，把“日通报、周例会、月观摩、季考评”工作机制建设作为推进老旧小区改造的重要抓手，做到行动迅速、坚持经常、落实有力，高质量推进老旧小区改造提质工作。</w:t>
      </w:r>
    </w:p>
    <w:p>
      <w:pPr>
        <w:pStyle w:val="7"/>
        <w:widowControl w:val="0"/>
        <w:wordWrap/>
        <w:adjustRightInd w:val="0"/>
        <w:snapToGrid w:val="0"/>
        <w:spacing w:before="0" w:line="592" w:lineRule="exact"/>
        <w:ind w:left="0" w:leftChars="0" w:right="0" w:firstLine="640" w:firstLineChars="200"/>
        <w:jc w:val="both"/>
        <w:textAlignment w:val="auto"/>
        <w:outlineLvl w:val="9"/>
        <w:rPr>
          <w:rFonts w:hint="default" w:ascii="仿宋" w:hAnsi="仿宋" w:eastAsia="仿宋" w:cs="仿宋"/>
          <w:b w:val="0"/>
          <w:bCs w:val="0"/>
          <w:color w:val="auto"/>
          <w:spacing w:val="0"/>
          <w:position w:val="0"/>
          <w:sz w:val="32"/>
          <w:szCs w:val="32"/>
          <w:lang w:val="en-US" w:eastAsia="zh-CN"/>
        </w:rPr>
      </w:pPr>
      <w:r>
        <w:rPr>
          <w:rFonts w:hint="default" w:ascii="方正楷体_GBK" w:hAnsi="方正楷体_GBK" w:eastAsia="方正楷体_GBK" w:cs="方正楷体_GBK"/>
          <w:sz w:val="32"/>
          <w:szCs w:val="32"/>
          <w:lang w:val="en-US" w:eastAsia="zh-CN" w:bidi="ar-SA"/>
        </w:rPr>
        <w:t>（二）加强组织领导。</w:t>
      </w:r>
      <w:r>
        <w:rPr>
          <w:rFonts w:hint="default" w:ascii="仿宋" w:hAnsi="仿宋" w:eastAsia="仿宋" w:cs="仿宋"/>
          <w:b w:val="0"/>
          <w:bCs w:val="0"/>
          <w:color w:val="auto"/>
          <w:spacing w:val="0"/>
          <w:position w:val="0"/>
          <w:sz w:val="32"/>
          <w:szCs w:val="32"/>
          <w:lang w:val="en-US" w:eastAsia="zh-CN"/>
        </w:rPr>
        <w:t>各有关单位要成立相应的组织领导机构，设立工作专班，抽调专职人员，建立相应的“日通报、周例会、月观摩、季考评”工作机制。老旧小区改造提质工作领导小组办公室（县住建局）要发挥总揽全局、协调各方作用，定期研究上级政策，及时传达上级要求，安排部署重点工作，</w:t>
      </w:r>
      <w:r>
        <w:rPr>
          <w:rFonts w:hint="default" w:ascii="仿宋" w:hAnsi="仿宋" w:eastAsia="仿宋" w:cs="仿宋"/>
          <w:b w:val="0"/>
          <w:bCs w:val="0"/>
          <w:color w:val="auto"/>
          <w:spacing w:val="0"/>
          <w:position w:val="0"/>
          <w:sz w:val="32"/>
          <w:szCs w:val="32"/>
        </w:rPr>
        <w:t>制</w:t>
      </w:r>
      <w:r>
        <w:rPr>
          <w:rFonts w:hint="default" w:ascii="仿宋" w:hAnsi="仿宋" w:eastAsia="仿宋" w:cs="仿宋"/>
          <w:b w:val="0"/>
          <w:bCs w:val="0"/>
          <w:color w:val="auto"/>
          <w:spacing w:val="0"/>
          <w:position w:val="0"/>
          <w:sz w:val="32"/>
          <w:szCs w:val="32"/>
          <w:lang w:val="en-US" w:eastAsia="zh-CN"/>
        </w:rPr>
        <w:t>定</w:t>
      </w:r>
      <w:r>
        <w:rPr>
          <w:rFonts w:hint="default" w:ascii="仿宋" w:hAnsi="仿宋" w:eastAsia="仿宋" w:cs="仿宋"/>
          <w:b w:val="0"/>
          <w:bCs w:val="0"/>
          <w:color w:val="auto"/>
          <w:spacing w:val="0"/>
          <w:position w:val="0"/>
          <w:sz w:val="32"/>
          <w:szCs w:val="32"/>
        </w:rPr>
        <w:t>具体行动措施，</w:t>
      </w:r>
      <w:r>
        <w:rPr>
          <w:rFonts w:hint="default" w:ascii="仿宋" w:hAnsi="仿宋" w:eastAsia="仿宋" w:cs="仿宋"/>
          <w:b w:val="0"/>
          <w:bCs w:val="0"/>
          <w:color w:val="auto"/>
          <w:spacing w:val="0"/>
          <w:position w:val="0"/>
          <w:sz w:val="32"/>
          <w:szCs w:val="32"/>
          <w:lang w:val="en-US" w:eastAsia="zh-CN"/>
        </w:rPr>
        <w:t>协调解决突出问题，确保工作上下通畅、运行高效有力</w:t>
      </w:r>
      <w:r>
        <w:rPr>
          <w:rFonts w:hint="default" w:ascii="仿宋" w:hAnsi="仿宋" w:eastAsia="仿宋" w:cs="仿宋"/>
          <w:b w:val="0"/>
          <w:bCs w:val="0"/>
          <w:color w:val="auto"/>
          <w:spacing w:val="0"/>
          <w:position w:val="0"/>
          <w:sz w:val="32"/>
          <w:szCs w:val="32"/>
        </w:rPr>
        <w:t>。</w:t>
      </w:r>
    </w:p>
    <w:p>
      <w:pPr>
        <w:pStyle w:val="7"/>
        <w:widowControl w:val="0"/>
        <w:wordWrap/>
        <w:adjustRightInd w:val="0"/>
        <w:snapToGrid w:val="0"/>
        <w:spacing w:before="0" w:line="592" w:lineRule="exact"/>
        <w:ind w:left="0" w:leftChars="0" w:right="0" w:firstLine="640" w:firstLineChars="200"/>
        <w:jc w:val="both"/>
        <w:textAlignment w:val="auto"/>
        <w:outlineLvl w:val="9"/>
        <w:rPr>
          <w:rFonts w:hint="eastAsia" w:ascii="仿宋" w:hAnsi="仿宋" w:eastAsia="仿宋" w:cs="仿宋"/>
          <w:b w:val="0"/>
          <w:bCs w:val="0"/>
          <w:color w:val="auto"/>
          <w:spacing w:val="0"/>
          <w:position w:val="0"/>
          <w:sz w:val="32"/>
          <w:szCs w:val="32"/>
          <w:lang w:val="en-US" w:eastAsia="zh-CN"/>
        </w:rPr>
      </w:pPr>
      <w:r>
        <w:rPr>
          <w:rFonts w:hint="default" w:ascii="方正楷体_GBK" w:hAnsi="方正楷体_GBK" w:eastAsia="方正楷体_GBK" w:cs="方正楷体_GBK"/>
          <w:sz w:val="32"/>
          <w:szCs w:val="32"/>
          <w:lang w:val="en-US" w:eastAsia="zh-CN" w:bidi="ar-SA"/>
        </w:rPr>
        <w:t>（三）强化工作落实。</w:t>
      </w:r>
      <w:r>
        <w:rPr>
          <w:rFonts w:hint="default" w:ascii="仿宋" w:hAnsi="仿宋" w:eastAsia="仿宋" w:cs="仿宋"/>
          <w:b w:val="0"/>
          <w:bCs w:val="0"/>
          <w:color w:val="auto"/>
          <w:spacing w:val="0"/>
          <w:position w:val="0"/>
          <w:sz w:val="32"/>
          <w:szCs w:val="32"/>
          <w:lang w:val="en-US" w:eastAsia="zh-CN"/>
        </w:rPr>
        <w:t>各有关单位要明确工作责任和工作目标，定人定岗，建立工作台帐，细化工作方案。要创新工作思路和改造理念，积极探索老旧小区改造的新方法、新途径，及时收集、汇总老旧小区改造的经验做法、典型案例，以示范引领带动老旧小区改造再上新水平、新台阶。县老旧小区改造提质工作领导小组办公室（县住建局）要强化督导落实，通过定期检查督促、量化评比排序、媒体报道曝光等方式，树典型、励先进，加压力、督后进，推动各项工作有力有序开展，全面完成行动计划明确的目标任务。</w:t>
      </w:r>
    </w:p>
    <w:p>
      <w:pPr>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4D45B9F-8612-4930-BBFD-F0E0B8D4D0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E855C18-08C0-40F3-B833-0E73394FEF71}"/>
  </w:font>
  <w:font w:name="NEU-BZ">
    <w:altName w:val="宋体"/>
    <w:panose1 w:val="02010600010101010101"/>
    <w:charset w:val="86"/>
    <w:family w:val="auto"/>
    <w:pitch w:val="default"/>
    <w:sig w:usb0="00000000" w:usb1="00000000" w:usb2="00000016" w:usb3="00000000" w:csb0="00040001" w:csb1="00000000"/>
    <w:embedRegular r:id="rId3" w:fontKey="{9A53F0DB-2687-4ACD-8F51-E193FCCCF487}"/>
  </w:font>
  <w:font w:name="仿宋_GB2312">
    <w:altName w:val="仿宋"/>
    <w:panose1 w:val="02010609030101010101"/>
    <w:charset w:val="86"/>
    <w:family w:val="auto"/>
    <w:pitch w:val="default"/>
    <w:sig w:usb0="00000000" w:usb1="00000000" w:usb2="00000000" w:usb3="00000000" w:csb0="00040000" w:csb1="00000000"/>
    <w:embedRegular r:id="rId4" w:fontKey="{97109788-61A3-471F-B40D-7673DD55791F}"/>
  </w:font>
  <w:font w:name="方正书宋简体">
    <w:altName w:val="宋体"/>
    <w:panose1 w:val="02010601030101010101"/>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embedRegular r:id="rId5" w:fontKey="{8EA2E21C-8045-45CF-9A00-8102AED070CD}"/>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6" w:fontKey="{B4D82663-0B14-4960-BA28-642402C74846}"/>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embedRegular r:id="rId7" w:fontKey="{2412F0FF-645E-45C3-8389-0269438C7485}"/>
  </w:font>
  <w:font w:name="方正楷体_GBK">
    <w:panose1 w:val="02000000000000000000"/>
    <w:charset w:val="86"/>
    <w:family w:val="auto"/>
    <w:pitch w:val="default"/>
    <w:sig w:usb0="800002BF" w:usb1="38CF7CFA" w:usb2="00000016" w:usb3="00000000" w:csb0="00040000" w:csb1="00000000"/>
    <w:embedRegular r:id="rId8" w:fontKey="{C112A018-37A9-44C8-962A-F76DDCA2BB4B}"/>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left="5016" w:leftChars="2280" w:firstLine="6400" w:firstLineChars="2000"/>
      <w:rPr>
        <w:rFonts w:hint="eastAsia" w:eastAsia="仿宋"/>
        <w:sz w:val="32"/>
        <w:szCs w:val="48"/>
        <w:lang w:val="en-US" w:eastAsia="zh-CN"/>
      </w:rPr>
    </w:pPr>
    <w:r>
      <w:rPr>
        <w:rFonts w:ascii="Calibri" w:hAnsi="NEU-BZ" w:eastAsia="宋体" w:cs="Times New Roman"/>
        <w:sz w:val="32"/>
        <w:szCs w:val="22"/>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pPr>
      <w:pStyle w:val="10"/>
      <w:wordWrap w:val="0"/>
      <w:ind w:left="895" w:leftChars="407" w:firstLine="10518" w:firstLineChars="3287"/>
      <w:jc w:val="right"/>
      <w:rPr>
        <w:rFonts w:hint="eastAsia" w:ascii="宋体" w:hAnsi="宋体" w:eastAsia="宋体" w:cs="宋体"/>
        <w:b/>
        <w:bCs/>
        <w:color w:val="005192"/>
        <w:sz w:val="28"/>
        <w:szCs w:val="44"/>
        <w:lang w:val="en-US" w:eastAsia="zh-CN"/>
      </w:rPr>
    </w:pPr>
    <w:r>
      <w:rPr>
        <w:rFonts w:ascii="Calibri" w:hAnsi="NEU-BZ" w:eastAsia="宋体" w:cs="Times New Roman"/>
        <w:sz w:val="32"/>
        <w:szCs w:val="22"/>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1312;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ascii="宋体" w:hAnsi="宋体" w:cs="宋体"/>
        <w:b/>
        <w:bCs/>
        <w:color w:val="005192"/>
        <w:sz w:val="28"/>
        <w:szCs w:val="44"/>
        <w:lang w:val="en-US" w:eastAsia="zh-CN"/>
      </w:rPr>
      <w:t>洛洛阳市伊川县</w:t>
    </w:r>
    <w:r>
      <w:rPr>
        <w:rFonts w:hint="eastAsia" w:ascii="宋体" w:hAnsi="宋体" w:eastAsia="宋体" w:cs="宋体"/>
        <w:b/>
        <w:bCs/>
        <w:color w:val="005192"/>
        <w:sz w:val="28"/>
        <w:szCs w:val="44"/>
        <w:lang w:val="en-US" w:eastAsia="zh-CN"/>
      </w:rPr>
      <w:t xml:space="preserve">人民政府发布    </w:t>
    </w:r>
  </w:p>
  <w:p>
    <w:pPr>
      <w:pStyle w:val="10"/>
      <w:wordWrap w:val="0"/>
      <w:ind w:left="5016"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szCs w:val="22"/>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60288;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jMTI1MGJkNWUwYzViMTJjNGI4YmQzNTg3ZTk4MGIifQ=="/>
  </w:docVars>
  <w:rsids>
    <w:rsidRoot w:val="7C9011D9"/>
    <w:rsid w:val="00FC6494"/>
    <w:rsid w:val="019E71BD"/>
    <w:rsid w:val="05440955"/>
    <w:rsid w:val="066E5641"/>
    <w:rsid w:val="06A67E67"/>
    <w:rsid w:val="080F63D8"/>
    <w:rsid w:val="09006E92"/>
    <w:rsid w:val="09341458"/>
    <w:rsid w:val="09553C02"/>
    <w:rsid w:val="0AF769F5"/>
    <w:rsid w:val="0CE65B2C"/>
    <w:rsid w:val="0D5C5CF8"/>
    <w:rsid w:val="0ED818A4"/>
    <w:rsid w:val="101F0538"/>
    <w:rsid w:val="10254BD6"/>
    <w:rsid w:val="129E7932"/>
    <w:rsid w:val="13A23C39"/>
    <w:rsid w:val="152D2DCA"/>
    <w:rsid w:val="17573FD8"/>
    <w:rsid w:val="1C86388D"/>
    <w:rsid w:val="1E466CFF"/>
    <w:rsid w:val="22440422"/>
    <w:rsid w:val="23F13B42"/>
    <w:rsid w:val="287C616C"/>
    <w:rsid w:val="296454F8"/>
    <w:rsid w:val="2FCE575A"/>
    <w:rsid w:val="2FFC7EDE"/>
    <w:rsid w:val="31A15F24"/>
    <w:rsid w:val="32B16A7D"/>
    <w:rsid w:val="387415AD"/>
    <w:rsid w:val="39A232A0"/>
    <w:rsid w:val="3A1C636B"/>
    <w:rsid w:val="3B5A6BBB"/>
    <w:rsid w:val="3BE16DE7"/>
    <w:rsid w:val="3E0E7999"/>
    <w:rsid w:val="3EDA13A6"/>
    <w:rsid w:val="3F5730EA"/>
    <w:rsid w:val="42F058B7"/>
    <w:rsid w:val="436109F6"/>
    <w:rsid w:val="441A38D4"/>
    <w:rsid w:val="474E2EF2"/>
    <w:rsid w:val="49B91357"/>
    <w:rsid w:val="4AD225F7"/>
    <w:rsid w:val="4AEC52E8"/>
    <w:rsid w:val="4AFF8CDB"/>
    <w:rsid w:val="4BC77339"/>
    <w:rsid w:val="4C9236C5"/>
    <w:rsid w:val="4D5C53F9"/>
    <w:rsid w:val="4E2A37E2"/>
    <w:rsid w:val="50414CBD"/>
    <w:rsid w:val="51E247E8"/>
    <w:rsid w:val="526F08CC"/>
    <w:rsid w:val="52F46F0B"/>
    <w:rsid w:val="53A17D41"/>
    <w:rsid w:val="55274B4C"/>
    <w:rsid w:val="55E064E0"/>
    <w:rsid w:val="5A4F3EF9"/>
    <w:rsid w:val="5D0D7ECB"/>
    <w:rsid w:val="5F744CAA"/>
    <w:rsid w:val="608816D1"/>
    <w:rsid w:val="67E50E81"/>
    <w:rsid w:val="69D03F98"/>
    <w:rsid w:val="6A7F4576"/>
    <w:rsid w:val="6BF75DB0"/>
    <w:rsid w:val="6D0E3F22"/>
    <w:rsid w:val="6D772313"/>
    <w:rsid w:val="6F722679"/>
    <w:rsid w:val="6FBF663D"/>
    <w:rsid w:val="70AF1C83"/>
    <w:rsid w:val="714A2531"/>
    <w:rsid w:val="71C61E01"/>
    <w:rsid w:val="71E9213F"/>
    <w:rsid w:val="75AA717D"/>
    <w:rsid w:val="79011794"/>
    <w:rsid w:val="7B7DC86C"/>
    <w:rsid w:val="7C9011D9"/>
    <w:rsid w:val="7CFB3184"/>
    <w:rsid w:val="7DC651C5"/>
    <w:rsid w:val="7DFBC28B"/>
    <w:rsid w:val="7FED60B9"/>
    <w:rsid w:val="7FFC3F69"/>
    <w:rsid w:val="D5F6BFC8"/>
    <w:rsid w:val="D6DD9B99"/>
    <w:rsid w:val="F3FD1269"/>
    <w:rsid w:val="F56FC6A7"/>
    <w:rsid w:val="F6FAB0A8"/>
    <w:rsid w:val="F7CE0210"/>
    <w:rsid w:val="F9DB9FDE"/>
    <w:rsid w:val="FAFFA13F"/>
    <w:rsid w:val="FB4E1D1D"/>
    <w:rsid w:val="FDB75BAD"/>
    <w:rsid w:val="FEA4C852"/>
    <w:rsid w:val="FEF13022"/>
    <w:rsid w:val="FFDA27BD"/>
    <w:rsid w:val="FFF9A3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rPr>
  </w:style>
  <w:style w:type="paragraph" w:styleId="4">
    <w:name w:val="heading 2"/>
    <w:basedOn w:val="1"/>
    <w:next w:val="1"/>
    <w:qFormat/>
    <w:uiPriority w:val="0"/>
    <w:pPr>
      <w:keepNext/>
      <w:keepLines/>
      <w:spacing w:before="100" w:beforeLines="100" w:after="100" w:afterLines="100" w:line="600" w:lineRule="exact"/>
      <w:jc w:val="center"/>
      <w:outlineLvl w:val="1"/>
    </w:pPr>
    <w:rPr>
      <w:rFonts w:ascii="黑体" w:hAnsi="Arial" w:eastAsia="黑体"/>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宋体" w:eastAsia="宋体" w:cs="宋体"/>
      <w:sz w:val="21"/>
      <w:szCs w:val="21"/>
    </w:rPr>
  </w:style>
  <w:style w:type="paragraph" w:styleId="5">
    <w:name w:val="Normal Indent"/>
    <w:basedOn w:val="1"/>
    <w:qFormat/>
    <w:uiPriority w:val="0"/>
    <w:pPr>
      <w:spacing w:line="600" w:lineRule="exact"/>
      <w:ind w:firstLine="200" w:firstLineChars="200"/>
    </w:pPr>
    <w:rPr>
      <w:rFonts w:eastAsia="仿宋_GB2312"/>
      <w:sz w:val="32"/>
      <w:szCs w:val="32"/>
    </w:rPr>
  </w:style>
  <w:style w:type="paragraph" w:styleId="6">
    <w:name w:val="annotation text"/>
    <w:basedOn w:val="1"/>
    <w:qFormat/>
    <w:uiPriority w:val="0"/>
    <w:pPr>
      <w:jc w:val="left"/>
    </w:pPr>
  </w:style>
  <w:style w:type="paragraph" w:styleId="7">
    <w:name w:val="Body Text"/>
    <w:basedOn w:val="1"/>
    <w:qFormat/>
    <w:uiPriority w:val="0"/>
    <w:pPr>
      <w:spacing w:before="175"/>
      <w:ind w:left="750"/>
    </w:pPr>
    <w:rPr>
      <w:rFonts w:ascii="仿宋_GB2312" w:hAnsi="仿宋_GB2312" w:eastAsia="仿宋_GB2312"/>
      <w:sz w:val="32"/>
      <w:szCs w:val="32"/>
    </w:rPr>
  </w:style>
  <w:style w:type="paragraph" w:styleId="8">
    <w:name w:val="Body Text Indent"/>
    <w:basedOn w:val="1"/>
    <w:qFormat/>
    <w:uiPriority w:val="0"/>
    <w:pPr>
      <w:spacing w:after="120"/>
      <w:ind w:left="420" w:leftChars="200"/>
    </w:pPr>
    <w:rPr>
      <w:rFonts w:ascii="Calibri" w:hAnsi="Calibri" w:eastAsia="宋体"/>
      <w:szCs w:val="22"/>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Subtitle"/>
    <w:basedOn w:val="1"/>
    <w:next w:val="1"/>
    <w:qFormat/>
    <w:uiPriority w:val="99"/>
    <w:pPr>
      <w:wordWrap w:val="0"/>
      <w:spacing w:after="60"/>
      <w:jc w:val="center"/>
    </w:pPr>
    <w:rPr>
      <w:rFonts w:ascii="Times New Roman" w:hAnsi="Times New Roman" w:eastAsia="宋体" w:cs="Times New Roman"/>
      <w:sz w:val="24"/>
      <w:lang w:val="en-US" w:eastAsia="zh-CN" w:bidi="ar-SA"/>
    </w:rPr>
  </w:style>
  <w:style w:type="paragraph" w:styleId="12">
    <w:name w:val="footnote text"/>
    <w:basedOn w:val="1"/>
    <w:qFormat/>
    <w:uiPriority w:val="0"/>
    <w:pPr>
      <w:snapToGrid w:val="0"/>
      <w:jc w:val="left"/>
    </w:pPr>
    <w:rPr>
      <w:rFonts w:ascii="Calibri" w:hAnsi="Calibri" w:eastAsia="宋体" w:cs="Times New Roman"/>
      <w:sz w:val="18"/>
      <w:szCs w:val="18"/>
    </w:rPr>
  </w:style>
  <w:style w:type="paragraph" w:styleId="13">
    <w:name w:val="Body Text 2"/>
    <w:basedOn w:val="1"/>
    <w:next w:val="7"/>
    <w:qFormat/>
    <w:uiPriority w:val="0"/>
    <w:pPr>
      <w:spacing w:line="480" w:lineRule="auto"/>
    </w:pPr>
    <w:rPr>
      <w:rFonts w:ascii="Calibri" w:hAnsi="Calibri"/>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Body Text First Indent"/>
    <w:basedOn w:val="7"/>
    <w:next w:val="1"/>
    <w:qFormat/>
    <w:uiPriority w:val="0"/>
    <w:pPr>
      <w:spacing w:line="600" w:lineRule="exact"/>
      <w:ind w:firstLine="420"/>
    </w:pPr>
    <w:rPr>
      <w:sz w:val="30"/>
      <w:szCs w:val="30"/>
    </w:rPr>
  </w:style>
  <w:style w:type="paragraph" w:styleId="16">
    <w:name w:val="Body Text First Indent 2"/>
    <w:basedOn w:val="8"/>
    <w:qFormat/>
    <w:uiPriority w:val="0"/>
    <w:pPr>
      <w:spacing w:beforeLines="10" w:afterLines="10"/>
      <w:ind w:left="2205" w:leftChars="0" w:firstLine="420" w:firstLineChars="200"/>
    </w:pPr>
    <w:rPr>
      <w:rFonts w:ascii="宋体" w:hAnsi="Times New Roman" w:eastAsia="宋体" w:cs="Times New Roman"/>
      <w:bCs/>
      <w:kern w:val="0"/>
      <w:sz w:val="22"/>
      <w:szCs w:val="20"/>
      <w:lang w:eastAsia="en-U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paragraph" w:customStyle="1" w:styleId="22">
    <w:name w:val="15.5正文（仿宋GB）"/>
    <w:basedOn w:val="1"/>
    <w:qFormat/>
    <w:uiPriority w:val="0"/>
    <w:pPr>
      <w:ind w:firstLine="200" w:firstLineChars="200"/>
    </w:pPr>
    <w:rPr>
      <w:rFonts w:ascii="方正书宋简体" w:hAnsi="方正书宋简体" w:eastAsia="仿宋_GB2312"/>
      <w:color w:val="000000"/>
      <w:sz w:val="31"/>
      <w:szCs w:val="31"/>
    </w:rPr>
  </w:style>
  <w:style w:type="paragraph" w:customStyle="1" w:styleId="23">
    <w:name w:val="一级标题（二号小标宋）"/>
    <w:basedOn w:val="1"/>
    <w:link w:val="29"/>
    <w:qFormat/>
    <w:uiPriority w:val="0"/>
    <w:pPr>
      <w:jc w:val="center"/>
    </w:pPr>
    <w:rPr>
      <w:rFonts w:ascii="方正书宋简体" w:hAnsi="方正书宋简体" w:eastAsia="方正小标宋_GBK"/>
      <w:color w:val="000000"/>
      <w:sz w:val="42"/>
      <w:szCs w:val="42"/>
    </w:rPr>
  </w:style>
  <w:style w:type="paragraph" w:customStyle="1" w:styleId="24">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25">
    <w:name w:val="样式3"/>
    <w:basedOn w:val="1"/>
    <w:qFormat/>
    <w:uiPriority w:val="0"/>
    <w:pPr>
      <w:widowControl w:val="0"/>
      <w:adjustRightInd w:val="0"/>
      <w:snapToGrid w:val="0"/>
      <w:spacing w:before="100" w:beforeLines="100" w:after="100" w:afterLines="100" w:line="600" w:lineRule="exact"/>
      <w:jc w:val="center"/>
    </w:pPr>
    <w:rPr>
      <w:rFonts w:ascii="方正书宋简体" w:hAnsi="方正书宋简体" w:eastAsia="楷体_GB2312"/>
      <w:color w:val="000000"/>
      <w:sz w:val="31"/>
      <w:szCs w:val="31"/>
    </w:rPr>
  </w:style>
  <w:style w:type="paragraph" w:customStyle="1" w:styleId="2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27">
    <w:name w:val="列出段落1"/>
    <w:basedOn w:val="1"/>
    <w:qFormat/>
    <w:uiPriority w:val="0"/>
    <w:pPr>
      <w:ind w:firstLine="420" w:firstLineChars="200"/>
    </w:pPr>
    <w:rPr>
      <w:szCs w:val="21"/>
    </w:rPr>
  </w:style>
  <w:style w:type="paragraph" w:customStyle="1" w:styleId="28">
    <w:name w:val="Default"/>
    <w:qFormat/>
    <w:uiPriority w:val="99"/>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29">
    <w:name w:val="一级标题（二号小标宋） Char"/>
    <w:basedOn w:val="19"/>
    <w:link w:val="23"/>
    <w:qFormat/>
    <w:uiPriority w:val="0"/>
    <w:rPr>
      <w:rFonts w:ascii="方正书宋简体" w:hAnsi="方正书宋简体" w:eastAsia="方正小标宋_GBK"/>
      <w:color w:val="000000"/>
      <w:sz w:val="42"/>
      <w:szCs w:val="42"/>
    </w:rPr>
  </w:style>
  <w:style w:type="character" w:customStyle="1" w:styleId="30">
    <w:name w:val="font21"/>
    <w:basedOn w:val="19"/>
    <w:qFormat/>
    <w:uiPriority w:val="0"/>
    <w:rPr>
      <w:rFonts w:hint="eastAsia" w:ascii="黑体" w:hAnsi="宋体" w:eastAsia="黑体" w:cs="黑体"/>
      <w:color w:val="000000"/>
      <w:sz w:val="22"/>
      <w:szCs w:val="22"/>
      <w:u w:val="none"/>
    </w:rPr>
  </w:style>
  <w:style w:type="paragraph" w:customStyle="1" w:styleId="31">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2720</Words>
  <Characters>2724</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2021-09-12T02:41:00Z</dcterms:created>
  <dc:creator>t</dc:creator>
  <cp:lastModifiedBy>李灿灿</cp:lastModifiedBy>
  <cp:lastPrinted>2021-09-25T01:19:00Z</cp:lastPrinted>
  <dcterms:modified xsi:type="dcterms:W3CDTF">2024-05-05T09:28:30Z</dcterms:modified>
  <dc:title>伊川县人民政府</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FB0414DF99DC49DCBCC11288188756BE_13</vt:lpwstr>
  </property>
</Properties>
</file>