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600" w:lineRule="exact"/>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spacing w:before="100" w:beforeAutospacing="1" w:after="100" w:afterAutospacing="1"/>
        <w:jc w:val="center"/>
        <w:rPr>
          <w:rFonts w:hint="eastAsia" w:ascii="方正小标宋_GBK" w:hAnsi="方正小标宋_GBK" w:eastAsia="方正小标宋_GBK" w:cs="方正小标宋_GBK"/>
          <w:b w:val="0"/>
          <w:bCs w:val="0"/>
          <w:color w:val="000000"/>
          <w:kern w:val="0"/>
          <w:sz w:val="36"/>
          <w:szCs w:val="36"/>
          <w:shd w:val="clear" w:color="auto" w:fill="FFFFFF"/>
          <w:lang w:val="en-US" w:eastAsia="zh-CN" w:bidi="ar-SA"/>
        </w:rPr>
      </w:pPr>
      <w:r>
        <w:rPr>
          <w:rFonts w:hint="eastAsia" w:ascii="方正小标宋_GBK" w:hAnsi="方正小标宋_GBK" w:eastAsia="方正小标宋_GBK" w:cs="方正小标宋_GBK"/>
          <w:b w:val="0"/>
          <w:bCs w:val="0"/>
          <w:color w:val="000000"/>
          <w:kern w:val="0"/>
          <w:sz w:val="36"/>
          <w:szCs w:val="36"/>
          <w:shd w:val="clear" w:color="auto" w:fill="FFFFFF"/>
          <w:lang w:val="en-US" w:eastAsia="zh-CN" w:bidi="ar-SA"/>
        </w:rPr>
        <w:t>重点工作任务分工表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5304"/>
        <w:gridCol w:w="1541"/>
        <w:gridCol w:w="1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574"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序号</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574"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工作任务</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574"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牵头单位</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574"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配合单位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1</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2021年，全区高新技术产业增加值占规上工业增加值比重突破45%；2023年，高新技术产业增加值占规上工业增加值比重达47%；2025年，高新技术产业增加值占规上工业增加值比重达50%。</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区统计局、各街道办事处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2</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2021年，全社会研发投入占地区生产总值的比重达2.5%；2023年，全社会研发投入占地区生产总值的比重达2.7%；2025年，全社会研发投入占地区生产总值的比重达3.0%。</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区统计局、区财政局、各街道办事处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3</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精准服务企业向科技型企业转型，建立科技、财政、税务、市场监管、统计等多部门的企业信息共享与科技型企业协同培育机制，推动更多符合条件的科技型中小企业“应评尽评、应入尽入”。2025年，全区国家科技型中小企业总量达到100家以上。</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区市场监管局，各街道办事处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4</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强化服务培育高新技术企业，以国家科技型中小企业为重点，街道办事处联动、部门协同建立高新技术企业培育库。街道办事处、各相关部门应设置入库企业培育台账，建立挂钩帮扶机制。2025年，全市高新技术企业达到45家以上。</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区财政局、区税务局、区市场监管局，各街道办事处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5</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推动载体孵育初创期科技企业，依托孵化载体建设高质量的创新主体孵育基地。2025年，实现省级及以上孵化载体培育科技型中小企业高新技术企业数量“清零”，孵化载体、科技园区成为培育科技型初创企业的重要力量。</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相关街道办事处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6</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建立创新引领型企业培育库，对标河南省创新龙头企业、“瞪羚”企业、“雏鹰”企业、“独角兽”企业等创新引领型企业标准，进行分类培育。2025年，“雏鹰”企业达到10家以上、“瞪羚”企业达到2家以上。</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区财政局、区发改委、区商工局、各街道办事处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7</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推动创新主体上市，建立创新主体挂牌上市后备资源库，动态管理，梯度培育。优化上市、挂牌及后备企业的发展环境。对在中国证监会或交易所审核、河南证监局辅导的企业以及部分重点上市后备企业实行区级领导分包联系制。2025年，力争实现上市公司1家，上市后备企业5家。</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区金融局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区科技局、区发改委、区商工局、区财政局，各街道办事处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8</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优化办事流程服务市场主体，各街道办事处、相关部门要为市场主体的注册、备案、发展提供优良的营商环境，聚焦企业办理量大的高频事项，简化优化事前审批，强化事中事后监管，维护企业投资主体地位，营造效能最高、用时最短的市场主体准入环境。</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区市场监管局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区发改委、区商工局、区税务局，各街道办事处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9</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科技、市场监管、税务等部门应利用信息平台办事窗口等渠道向企业宣传创新主体培育政策。</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区市场监管局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区税务局、区科技局，各街道办事处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10</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围绕古都科创园产业发展和创新需求，在财税扶持、知识产权保护、高端人才引进、科技金融结合等方面予以支持。加快建设科创园区，打造先进制造业与科研院所结合孵化平台，在成功引进电磁材料与器件技术研究院、三众智慧节能产业研究院、联想深慧视产业技术研究院等产院结合项目的基础上，采取有力措施扩大其辐射功能，加快古都科创园西区和北区建设，高标准引进一批科技创新型企业，吸引各类优质创新主体在老城落地聚集，重点打造以高端电子、磁性新材料、5G、互联网等战略新兴产业为核心，先进制造业为引领，科技专利和知识产权产品交易为衍生，商业服务和人才培训为配套的多层次产业机构和产院结合孵化平台。</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相关街道办事处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11</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争取古都科创园2021年升级为省级科技孵化器；2023年，争取升级为国家级科技孵化器。</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相关街道办事处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12</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围绕老城以现代物流、文化旅游为主导产业，以科技服务、牡丹、现代农业为特色产业的“223”现代产业体系，有效整合、优化配置创新平台资源，提高资源配置效率和使用效益，提升区域创新体系整体效能。区科技局、发改委、商工局等相关部门要健全创新平台扶持政策，修订完善创新平台管理办法。区科技局、发改委、商工局等相关部门要加强统筹协调和密切协作，推动企业研发中心、企业技术中心、工程研究中心、制造业创新中心等各类创新平台建设。重点推动洛阳市浪潮消防科技股份有限公司拟建的河南省消防灭火剂及消防装备工程技术研究中心和特富特电磁科技（洛阳）有限公司组建的河南省磁性器件及材料工程技术中心、信成精密机械有限公司组建的电蚀工程技术中心三个市级研发平台升级项目。2025年，创新平台数量达到100个以上，其中省级以上研发平台10个。</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i w:val="0"/>
                <w:iCs w:val="0"/>
                <w:caps w:val="0"/>
                <w:color w:val="000000"/>
                <w:spacing w:val="0"/>
                <w:kern w:val="0"/>
                <w:sz w:val="24"/>
                <w:szCs w:val="24"/>
                <w:lang w:val="en-US" w:eastAsia="zh-CN" w:bidi="ar"/>
              </w:rPr>
              <w:t>区发改委</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区商工局</w:t>
            </w:r>
          </w:p>
        </w:tc>
        <w:tc>
          <w:tcPr>
            <w:tcW w:w="1446" w:type="dxa"/>
            <w:vAlign w:val="center"/>
          </w:tcPr>
          <w:p>
            <w:pPr>
              <w:keepNext w:val="0"/>
              <w:keepLines w:val="0"/>
              <w:widowControl/>
              <w:suppressLineNumbers w:val="0"/>
              <w:spacing w:before="0" w:beforeAutospacing="0" w:after="0" w:afterAutospacing="0"/>
              <w:ind w:left="0" w:leftChars="0" w:right="0" w:rightChars="0"/>
              <w:jc w:val="center"/>
              <w:rPr>
                <w:rFonts w:hint="eastAsia"/>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13</w:t>
            </w:r>
          </w:p>
        </w:tc>
        <w:tc>
          <w:tcPr>
            <w:tcW w:w="5304"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围绕先进装备制造、文化与科技融合、新材料等产业创新需求，引进知名高校创新资源，开展成果转化、企业孵化和技术服务，建设集平台型、引领型、突破型于一体的综合性应用技术研究基地，提升产业链原始创新能力。2021年，推进洛阳智慧节能技术研究院落地建设，开展节能技术等技术研发和成果转化；推进华北水利水电与水利勘测设计有限公司、河南科技大学与洛阳风动工具有限公司、洛阳理工学院与港信玻璃、信成精密，洛阳职业技术学院与洛阳鑫鼎源器件有限公司等校企技术合作。2025年，引进高校高层次创新团队2个以上，落地产业化项目5项，申请专利20项以上。</w:t>
            </w:r>
          </w:p>
        </w:tc>
        <w:tc>
          <w:tcPr>
            <w:tcW w:w="1541"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right="0"/>
              <w:jc w:val="center"/>
              <w:rPr>
                <w:rFonts w:hint="eastAsia" w:ascii="微软雅黑" w:hAnsi="微软雅黑" w:eastAsia="微软雅黑" w:cs="微软雅黑"/>
                <w:sz w:val="24"/>
                <w:szCs w:val="24"/>
              </w:rPr>
            </w:pPr>
            <w:r>
              <w:rPr>
                <w:rFonts w:hint="eastAsia" w:ascii="微软雅黑" w:hAnsi="微软雅黑" w:eastAsia="微软雅黑" w:cs="微软雅黑"/>
                <w:i w:val="0"/>
                <w:iCs w:val="0"/>
                <w:caps w:val="0"/>
                <w:color w:val="000000"/>
                <w:spacing w:val="0"/>
                <w:kern w:val="0"/>
                <w:sz w:val="24"/>
                <w:szCs w:val="24"/>
                <w:lang w:val="en-US" w:eastAsia="zh-CN" w:bidi="ar"/>
              </w:rPr>
              <w:t>区科技局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区市场监管局</w:t>
            </w:r>
          </w:p>
        </w:tc>
        <w:tc>
          <w:tcPr>
            <w:tcW w:w="1446" w:type="dxa"/>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100" w:beforeAutospacing="0" w:after="100" w:afterAutospacing="0" w:line="400" w:lineRule="atLeast"/>
              <w:ind w:left="0" w:leftChars="0" w:right="0" w:rightChars="0"/>
              <w:jc w:val="center"/>
              <w:rPr>
                <w:rFonts w:hint="eastAsia"/>
                <w:vertAlign w:val="baseline"/>
                <w:lang w:val="en-US" w:eastAsia="zh-CN"/>
              </w:rPr>
            </w:pPr>
            <w:r>
              <w:rPr>
                <w:rFonts w:hint="eastAsia" w:ascii="微软雅黑" w:hAnsi="微软雅黑" w:eastAsia="微软雅黑" w:cs="微软雅黑"/>
                <w:i w:val="0"/>
                <w:iCs w:val="0"/>
                <w:caps w:val="0"/>
                <w:color w:val="000000"/>
                <w:spacing w:val="0"/>
                <w:kern w:val="0"/>
                <w:sz w:val="24"/>
                <w:szCs w:val="24"/>
                <w:lang w:val="en-US" w:eastAsia="zh-CN" w:bidi="ar"/>
              </w:rPr>
              <w:t>各街道办事处</w:t>
            </w:r>
          </w:p>
        </w:tc>
      </w:tr>
    </w:tbl>
    <w:p>
      <w:pPr>
        <w:pStyle w:val="2"/>
        <w:rPr>
          <w:rFonts w:hint="eastAsia"/>
          <w:lang w:val="en-US" w:eastAsia="zh-CN"/>
        </w:rPr>
      </w:pPr>
    </w:p>
    <w:p>
      <w:pPr>
        <w:widowControl w:val="0"/>
        <w:spacing w:line="600" w:lineRule="exact"/>
        <w:ind w:firstLine="640" w:firstLineChars="200"/>
        <w:jc w:val="both"/>
        <w:rPr>
          <w:rFonts w:hint="eastAsia" w:ascii="仿宋" w:hAnsi="仿宋" w:eastAsia="仿宋"/>
          <w:sz w:val="32"/>
          <w:szCs w:val="32"/>
        </w:rPr>
      </w:pPr>
    </w:p>
    <w:p>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EU-BZ">
    <w:altName w:val="宋体"/>
    <w:panose1 w:val="00000000000000000000"/>
    <w:charset w:val="86"/>
    <w:family w:val="auto"/>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left="5016" w:leftChars="2280" w:firstLine="6400" w:firstLineChars="2000"/>
      <w:rPr>
        <w:rFonts w:eastAsia="仿宋"/>
        <w:sz w:val="32"/>
        <w:szCs w:val="48"/>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3"/>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- 1 -</w:t>
                    </w:r>
                    <w:r>
                      <w:rPr>
                        <w:rFonts w:hint="eastAsia" w:ascii="宋体" w:hAnsi="宋体" w:cs="宋体"/>
                        <w:sz w:val="28"/>
                        <w:szCs w:val="28"/>
                      </w:rPr>
                      <w:fldChar w:fldCharType="end"/>
                    </w:r>
                  </w:p>
                </w:txbxContent>
              </v:textbox>
            </v:shape>
          </w:pict>
        </mc:Fallback>
      </mc:AlternateContent>
    </w:r>
    <w:r>
      <w:rPr>
        <w:rFonts w:hint="eastAsia" w:eastAsia="仿宋"/>
        <w:sz w:val="32"/>
        <w:szCs w:val="48"/>
      </w:rPr>
      <w:t xml:space="preserve">  </w:t>
    </w:r>
  </w:p>
  <w:p>
    <w:pPr>
      <w:pStyle w:val="4"/>
      <w:wordWrap w:val="0"/>
      <w:ind w:left="895" w:leftChars="407" w:firstLine="10518" w:firstLineChars="3287"/>
      <w:jc w:val="right"/>
      <w:rPr>
        <w:rFonts w:ascii="宋体" w:hAnsi="宋体" w:cs="宋体"/>
        <w:b/>
        <w:bCs/>
        <w:color w:val="005192"/>
        <w:sz w:val="28"/>
        <w:szCs w:val="44"/>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ascii="宋体" w:hAnsi="宋体" w:cs="宋体"/>
        <w:b/>
        <w:bCs/>
        <w:color w:val="005192"/>
        <w:sz w:val="28"/>
        <w:szCs w:val="44"/>
      </w:rPr>
      <w:t xml:space="preserve">洛洛阳市老城区人民政府办公室发布    </w:t>
    </w:r>
  </w:p>
  <w:p>
    <w:pPr>
      <w:pStyle w:val="4"/>
      <w:wordWrap w:val="0"/>
      <w:ind w:left="5016" w:leftChars="2280" w:firstLine="5622" w:firstLineChars="2000"/>
      <w:jc w:val="right"/>
      <w:rPr>
        <w:rFonts w:ascii="宋体" w:hAnsi="宋体" w:cs="宋体"/>
        <w:b/>
        <w:bCs/>
        <w:color w:val="005192"/>
        <w:sz w:val="28"/>
        <w:szCs w:val="4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idowControl w:val="0"/>
      <w:textAlignment w:val="center"/>
      <w:rPr>
        <w:rFonts w:ascii="宋体" w:hAnsi="宋体" w:cs="宋体"/>
        <w:b/>
        <w:bCs/>
        <w:color w:val="005192"/>
        <w:sz w:val="32"/>
      </w:rPr>
    </w:pPr>
    <w:r>
      <w:rPr>
        <w:rFonts w:hint="eastAsia" w:ascii="宋体" w:hAnsi="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0795" r="18415" b="17780"/>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4"/>
      <w:widowControl w:val="0"/>
      <w:textAlignment w:val="center"/>
      <w:rPr>
        <w:rFonts w:ascii="宋体" w:hAnsi="宋体" w:cs="宋体"/>
        <w:b/>
        <w:bCs/>
        <w:color w:val="005192"/>
        <w:sz w:val="32"/>
        <w:szCs w:val="32"/>
      </w:rPr>
    </w:pPr>
    <w:r>
      <w:rPr>
        <w:rFonts w:hint="eastAsia" w:ascii="宋体" w:hAnsi="宋体" w:cs="宋体"/>
        <w:b/>
        <w:bCs/>
        <w:color w:val="005192"/>
        <w:sz w:val="32"/>
      </w:rPr>
      <w:t>洛阳市</w:t>
    </w:r>
    <w:r>
      <w:rPr>
        <w:rFonts w:hint="eastAsia" w:ascii="宋体" w:hAnsi="宋体" w:cs="宋体"/>
        <w:b/>
        <w:bCs/>
        <w:color w:val="005192"/>
        <w:sz w:val="32"/>
        <w:szCs w:val="32"/>
      </w:rPr>
      <w:t>老城区人民政府办公室行政规范性文件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iNjM5OWQ3N2U4ZjBhNmIyMzUyZmExNzYxZmFmYmUifQ=="/>
  </w:docVars>
  <w:rsids>
    <w:rsidRoot w:val="5D0C47C0"/>
    <w:rsid w:val="5D0C47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rPr>
      <w:rFonts w:ascii="Calibri" w:hAnsi="NEU-BZ" w:eastAsia="宋体" w:cs="Times New Roman"/>
      <w:sz w:val="22"/>
      <w:szCs w:val="22"/>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qFormat/>
    <w:uiPriority w:val="99"/>
    <w:rPr>
      <w:rFonts w:ascii="宋体" w:hAnsi="宋体" w:cs="宋体"/>
      <w:sz w:val="21"/>
      <w:szCs w:val="21"/>
    </w:rPr>
  </w:style>
  <w:style w:type="paragraph" w:styleId="3">
    <w:name w:val="footer"/>
    <w:basedOn w:val="1"/>
    <w:qFormat/>
    <w:uiPriority w:val="0"/>
    <w:pPr>
      <w:tabs>
        <w:tab w:val="center" w:pos="4153"/>
        <w:tab w:val="right" w:pos="8306"/>
      </w:tabs>
      <w:snapToGrid w:val="0"/>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2024-04-29T02:08:00Z</dcterms:created>
  <dc:creator>染尘</dc:creator>
  <cp:lastModifiedBy>染尘</cp:lastModifiedBy>
  <dcterms:modified xsi:type="dcterms:W3CDTF">2024-04-29T02:09:36Z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9BA251AA82F940F396F8825756D68F4E_11</vt:lpwstr>
  </property>
</Properties>
</file>