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2" w:lineRule="exact"/>
        <w:rPr>
          <w:rFonts w:hint="eastAsia" w:ascii="黑体" w:hAnsi="黑体" w:eastAsia="黑体"/>
          <w:kern w:val="0"/>
          <w:sz w:val="32"/>
          <w:szCs w:val="32"/>
        </w:rPr>
      </w:pPr>
      <w:r>
        <w:rPr>
          <w:rFonts w:hint="eastAsia" w:ascii="黑体" w:hAnsi="黑体" w:eastAsia="黑体"/>
          <w:kern w:val="0"/>
          <w:sz w:val="32"/>
          <w:szCs w:val="32"/>
        </w:rPr>
        <w:t>附件</w:t>
      </w:r>
      <w:r>
        <w:rPr>
          <w:rFonts w:ascii="黑体" w:hAnsi="黑体" w:eastAsia="黑体"/>
          <w:kern w:val="0"/>
          <w:sz w:val="32"/>
          <w:szCs w:val="32"/>
        </w:rPr>
        <w:t>1</w:t>
      </w:r>
    </w:p>
    <w:p>
      <w:pPr>
        <w:spacing w:line="592" w:lineRule="exact"/>
        <w:rPr>
          <w:rFonts w:hint="eastAsia"/>
          <w:kern w:val="0"/>
          <w:sz w:val="32"/>
          <w:szCs w:val="32"/>
        </w:rPr>
      </w:pPr>
    </w:p>
    <w:p>
      <w:pPr>
        <w:spacing w:line="592" w:lineRule="exact"/>
        <w:jc w:val="center"/>
        <w:rPr>
          <w:rFonts w:hint="eastAsia" w:ascii="方正小标宋简体" w:eastAsia="方正小标宋简体"/>
          <w:kern w:val="0"/>
          <w:szCs w:val="21"/>
        </w:rPr>
      </w:pPr>
      <w:r>
        <w:rPr>
          <w:rFonts w:hint="eastAsia" w:ascii="方正小标宋简体" w:eastAsia="方正小标宋简体"/>
          <w:kern w:val="0"/>
          <w:sz w:val="44"/>
          <w:szCs w:val="44"/>
        </w:rPr>
        <w:t>“四上”企业统计标准、行业主管部门职责及目 标 任 务</w:t>
      </w:r>
    </w:p>
    <w:p>
      <w:pPr>
        <w:spacing w:line="592" w:lineRule="exact"/>
        <w:ind w:firstLine="641"/>
        <w:rPr>
          <w:kern w:val="0"/>
          <w:szCs w:val="21"/>
        </w:rPr>
      </w:pPr>
    </w:p>
    <w:p>
      <w:pPr>
        <w:spacing w:line="592" w:lineRule="exact"/>
        <w:ind w:firstLine="640" w:firstLineChars="200"/>
        <w:rPr>
          <w:rFonts w:hint="eastAsia" w:ascii="仿宋_GB2312" w:eastAsia="仿宋_GB2312"/>
          <w:spacing w:val="-4"/>
          <w:kern w:val="0"/>
          <w:szCs w:val="21"/>
        </w:rPr>
      </w:pPr>
      <w:r>
        <w:rPr>
          <w:rFonts w:hint="eastAsia" w:ascii="仿宋_GB2312" w:eastAsia="仿宋_GB2312"/>
          <w:kern w:val="0"/>
          <w:sz w:val="32"/>
          <w:szCs w:val="32"/>
        </w:rPr>
        <w:t>“四上”企业是现阶段我国统计工作实践中对达到一定规模、资质或限额的法人单位的一种习惯称谓。包括规模以上工业、有资</w:t>
      </w:r>
      <w:r>
        <w:rPr>
          <w:rFonts w:hint="eastAsia" w:ascii="仿宋_GB2312" w:eastAsia="仿宋_GB2312"/>
          <w:spacing w:val="-4"/>
          <w:kern w:val="0"/>
          <w:sz w:val="32"/>
          <w:szCs w:val="32"/>
        </w:rPr>
        <w:t>质的建筑业和房地产开发经营业、限额以上批零住餐业、规模以上服务业法人单位。具体入库标准以统计部门最新规定为准。</w:t>
      </w:r>
    </w:p>
    <w:p>
      <w:pPr>
        <w:spacing w:line="592" w:lineRule="exact"/>
        <w:ind w:firstLine="640" w:firstLineChars="200"/>
        <w:rPr>
          <w:rFonts w:hint="eastAsia" w:ascii="仿宋_GB2312" w:eastAsia="仿宋_GB2312"/>
          <w:kern w:val="0"/>
          <w:szCs w:val="21"/>
        </w:rPr>
      </w:pPr>
      <w:r>
        <w:rPr>
          <w:rFonts w:hint="eastAsia" w:ascii="黑体" w:hAnsi="黑体" w:eastAsia="黑体"/>
          <w:kern w:val="0"/>
          <w:sz w:val="32"/>
          <w:szCs w:val="32"/>
        </w:rPr>
        <w:t>一、规模以上工业：</w:t>
      </w:r>
      <w:r>
        <w:rPr>
          <w:rFonts w:hint="eastAsia" w:ascii="仿宋_GB2312" w:eastAsia="仿宋_GB2312"/>
          <w:kern w:val="0"/>
          <w:sz w:val="32"/>
          <w:szCs w:val="32"/>
        </w:rPr>
        <w:t>年主营业务收入2000万元及以上的工业法人单位。</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县科技工信局：负责建立规模以上工业企业培育库，督促指导企业入库申报，2022年完成18家规模以上工业企业入库。</w:t>
      </w:r>
    </w:p>
    <w:p>
      <w:pPr>
        <w:spacing w:line="592" w:lineRule="exact"/>
        <w:ind w:firstLine="640" w:firstLineChars="200"/>
        <w:rPr>
          <w:rFonts w:hint="eastAsia" w:ascii="仿宋_GB2312" w:eastAsia="仿宋_GB2312"/>
          <w:kern w:val="0"/>
          <w:szCs w:val="21"/>
        </w:rPr>
      </w:pPr>
      <w:r>
        <w:rPr>
          <w:rFonts w:hint="eastAsia" w:ascii="黑体" w:hAnsi="黑体" w:eastAsia="黑体"/>
          <w:kern w:val="0"/>
          <w:sz w:val="32"/>
          <w:szCs w:val="32"/>
        </w:rPr>
        <w:t>二、有资质的建筑业和房地产开发经营业：</w:t>
      </w:r>
      <w:r>
        <w:rPr>
          <w:rFonts w:hint="eastAsia" w:ascii="仿宋_GB2312" w:eastAsia="仿宋_GB2312"/>
          <w:kern w:val="0"/>
          <w:sz w:val="32"/>
          <w:szCs w:val="32"/>
        </w:rPr>
        <w:t>具有总承包、专业承包资质的（拥有城乡建设部门颁发的《建筑业企业资质证书》）建筑业法人单位和有开发经营活动的全部房地产开发经营业法人单位。</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县住建局：负责督促指导资质等级建筑业企业、房地产开发经营活动的企业入库申报，2022年完成7家企业入库。</w:t>
      </w:r>
    </w:p>
    <w:p>
      <w:pPr>
        <w:spacing w:line="592" w:lineRule="exact"/>
        <w:ind w:firstLine="640" w:firstLineChars="200"/>
        <w:rPr>
          <w:rFonts w:hint="eastAsia" w:ascii="仿宋_GB2312" w:eastAsia="仿宋_GB2312"/>
          <w:kern w:val="0"/>
          <w:szCs w:val="21"/>
        </w:rPr>
      </w:pPr>
      <w:r>
        <w:rPr>
          <w:rFonts w:hint="eastAsia" w:ascii="黑体" w:hAnsi="黑体" w:eastAsia="黑体"/>
          <w:kern w:val="0"/>
          <w:sz w:val="32"/>
          <w:szCs w:val="32"/>
        </w:rPr>
        <w:t>三、限额以上批零住餐业：</w:t>
      </w:r>
      <w:r>
        <w:rPr>
          <w:rFonts w:hint="eastAsia" w:ascii="仿宋_GB2312" w:eastAsia="仿宋_GB2312"/>
          <w:kern w:val="0"/>
          <w:sz w:val="32"/>
          <w:szCs w:val="32"/>
        </w:rPr>
        <w:t>年主营业务收入2000万元及以上的批发业法人单位，年主营业务收入500万元及以上的零售业法人单位，年主营业务收入200万元及以上的住宿业、餐饮业法人单位。</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商务局：统筹限额以上批零住餐业、有色金属贸易企业入统工作，负责建立限额以上批发零售餐饮业、有色金属贸易企业培育库，协调解决企业入库申报事宜，督促指导企业入库申报，2022年完成13家限额以上批零餐饮业入库。</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县文化广电和旅游局：负责做好限额以上住宿业、民宿企业入统工作，负责建立限额以上住宿业、民宿企业培育库，督促指导企业入库申报，2022年完成2家限额以上住宿业入库。</w:t>
      </w:r>
    </w:p>
    <w:p>
      <w:pPr>
        <w:spacing w:line="592" w:lineRule="exact"/>
        <w:ind w:firstLine="640" w:firstLineChars="200"/>
        <w:rPr>
          <w:rFonts w:hint="eastAsia" w:ascii="仿宋_GB2312" w:eastAsia="仿宋_GB2312"/>
          <w:kern w:val="0"/>
          <w:szCs w:val="21"/>
        </w:rPr>
      </w:pPr>
      <w:r>
        <w:rPr>
          <w:rFonts w:hint="eastAsia" w:ascii="黑体" w:hAnsi="黑体" w:eastAsia="黑体"/>
          <w:kern w:val="0"/>
          <w:sz w:val="32"/>
          <w:szCs w:val="32"/>
        </w:rPr>
        <w:t>四、规模以上服务业：</w:t>
      </w:r>
      <w:r>
        <w:rPr>
          <w:rFonts w:hint="eastAsia" w:ascii="仿宋_GB2312" w:eastAsia="仿宋_GB2312"/>
          <w:kern w:val="0"/>
          <w:sz w:val="32"/>
          <w:szCs w:val="32"/>
        </w:rPr>
        <w:t>年营业收入2000万元及以上服务业法人单位，包括交通运输、仓储和邮政业，信息传输、软件和信息技术服务业，水利、环境和公共设施管理业三个门类和卫生行业大类；年营业收入1000万元及以上服务业法人单位，包括租赁和商务服务业、科学研究和技术服务业、教育三个门类及物业管理、房地产中介服务、房地产租赁经营和其他房地产业四个行业小类；年营业收入500万元及以上服务业法人单位，包括居民服务、修理和其他服务业，文化、体育和娱乐业两个门类，以及社会工作行业大类。</w:t>
      </w:r>
    </w:p>
    <w:p>
      <w:pPr>
        <w:spacing w:line="592"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县发展改革委：统筹服务业“小升规”工作，督促指导行业主管部门做好服务业企业入库申报工作。</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县交通局：负责督促指导交通运输行业企业、邮政快递行业企业入库申报工作，2022年完成1家规以上服务业企业入库。</w:t>
      </w:r>
    </w:p>
    <w:p>
      <w:pPr>
        <w:spacing w:line="592" w:lineRule="exact"/>
        <w:ind w:firstLine="640" w:firstLineChars="200"/>
        <w:rPr>
          <w:rFonts w:hint="eastAsia" w:ascii="仿宋_GB2312" w:eastAsia="仿宋_GB2312"/>
          <w:spacing w:val="-4"/>
          <w:kern w:val="0"/>
          <w:szCs w:val="21"/>
        </w:rPr>
      </w:pPr>
      <w:r>
        <w:rPr>
          <w:rFonts w:hint="eastAsia" w:ascii="仿宋_GB2312" w:eastAsia="仿宋_GB2312"/>
          <w:kern w:val="0"/>
          <w:sz w:val="32"/>
          <w:szCs w:val="32"/>
        </w:rPr>
        <w:t>县商务局：负</w:t>
      </w:r>
      <w:r>
        <w:rPr>
          <w:rFonts w:hint="eastAsia" w:ascii="仿宋_GB2312" w:eastAsia="仿宋_GB2312"/>
          <w:spacing w:val="-4"/>
          <w:kern w:val="0"/>
          <w:sz w:val="32"/>
          <w:szCs w:val="32"/>
        </w:rPr>
        <w:t>责督促指导仓储行业、租赁和商务服务业企业、家政服务入库申报工作，2022年完成1家规以上服务业企业入库。</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县科技工信局：负责督促指导信息传输、软件、信息技术服务业企业、科学研究和技术服务业企业入库申报工作，2022年2022年完成1家规以上服务业企业入库。</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县水利局：负责督促指导水利行业企业入库申报工作。</w:t>
      </w:r>
    </w:p>
    <w:p>
      <w:pPr>
        <w:spacing w:line="592" w:lineRule="exact"/>
        <w:ind w:firstLine="640" w:firstLineChars="200"/>
        <w:rPr>
          <w:rFonts w:hint="eastAsia" w:ascii="仿宋_GB2312" w:eastAsia="仿宋_GB2312"/>
          <w:spacing w:val="-4"/>
          <w:kern w:val="0"/>
          <w:szCs w:val="21"/>
        </w:rPr>
      </w:pPr>
      <w:r>
        <w:rPr>
          <w:rFonts w:hint="eastAsia" w:ascii="仿宋_GB2312" w:eastAsia="仿宋_GB2312"/>
          <w:kern w:val="0"/>
          <w:sz w:val="32"/>
          <w:szCs w:val="32"/>
        </w:rPr>
        <w:t>县生态环境分局：</w:t>
      </w:r>
      <w:r>
        <w:rPr>
          <w:rFonts w:hint="eastAsia" w:ascii="仿宋_GB2312" w:eastAsia="仿宋_GB2312"/>
          <w:spacing w:val="-4"/>
          <w:kern w:val="0"/>
          <w:sz w:val="32"/>
          <w:szCs w:val="32"/>
        </w:rPr>
        <w:t>负责督促指导环境行业企业入库申报工作。</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县城市管理局：负责督促指导公共设施管理行业企业入库申报工作。</w:t>
      </w:r>
    </w:p>
    <w:p>
      <w:pPr>
        <w:spacing w:line="592"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县卫健委：负责督促指导卫生行业企业入库申报工作。</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县住建局：负责督促指导物业管理、房地产中介服务、房地产租赁经营和其他房地产业企业入库申报工作。</w:t>
      </w:r>
    </w:p>
    <w:p>
      <w:pPr>
        <w:spacing w:line="592" w:lineRule="exact"/>
        <w:ind w:firstLine="640" w:firstLineChars="200"/>
        <w:rPr>
          <w:rFonts w:hint="eastAsia" w:ascii="仿宋_GB2312" w:eastAsia="仿宋_GB2312"/>
          <w:kern w:val="0"/>
          <w:szCs w:val="21"/>
        </w:rPr>
      </w:pPr>
      <w:r>
        <w:rPr>
          <w:rFonts w:hint="eastAsia" w:ascii="仿宋_GB2312" w:eastAsia="仿宋_GB2312"/>
          <w:kern w:val="0"/>
          <w:sz w:val="32"/>
          <w:szCs w:val="32"/>
        </w:rPr>
        <w:t>县文化广电和旅游局：负责督促指导文化、娱乐服务业企业入库申报工作。</w:t>
      </w:r>
    </w:p>
    <w:p>
      <w:pPr>
        <w:spacing w:line="592"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 xml:space="preserve">县教体局：负责督促指导体育行业企业入库申报工作，2022年完成1家规以上服务业企业入库。  </w:t>
      </w:r>
    </w:p>
    <w:p>
      <w:r>
        <w:rPr>
          <w:rFonts w:hint="eastAsia" w:ascii="仿宋_GB2312" w:eastAsia="仿宋_GB2312"/>
          <w:sz w:val="32"/>
          <w:szCs w:val="32"/>
        </w:rPr>
        <w:t>县人社局：负责劳务派遣、技能培训行业入库申报工作，2022年完成1家规以上服务业企业入库。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E8630B-A87C-4582-89C3-B47EC67660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8D3C27E-C684-4354-BC7C-E9800FE62976}"/>
  </w:font>
  <w:font w:name="NEU-BZ">
    <w:altName w:val="宋体"/>
    <w:panose1 w:val="0201060001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E344FED9-408D-42C7-9E43-01E9F3C54D9B}"/>
  </w:font>
  <w:font w:name="仿宋_GB2312">
    <w:altName w:val="仿宋"/>
    <w:panose1 w:val="02010609030101010101"/>
    <w:charset w:val="86"/>
    <w:family w:val="auto"/>
    <w:pitch w:val="default"/>
    <w:sig w:usb0="00000000" w:usb1="00000000" w:usb2="00000000" w:usb3="00000000" w:csb0="00040000" w:csb1="00000000"/>
    <w:embedRegular r:id="rId4" w:fontKey="{A1D3059C-4BBE-4928-8672-418230303FB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ZmQ3Mzk0MzYyNTRjZDAwNDRkNzI5MGI5M2QxZGYifQ=="/>
  </w:docVars>
  <w:rsids>
    <w:rsidRoot w:val="6EF0468A"/>
    <w:rsid w:val="6EF04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2024-04-29T03:54:00Z</dcterms:created>
  <dc:creator>Ll</dc:creator>
  <cp:lastModifiedBy>Ll</cp:lastModifiedBy>
  <dcterms:modified xsi:type="dcterms:W3CDTF">2024-04-29T03:54:54Z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06505177EB8D440C81BC077B82816B8C_11</vt:lpwstr>
  </property>
</Properties>
</file>