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Autospacing="1" w:afterAutospacing="1"/>
        <w:rPr>
          <w:rFonts w:ascii="仿宋" w:hAnsi="仿宋" w:eastAsia="仿宋"/>
          <w:color w:val="000000"/>
          <w:sz w:val="32"/>
          <w:szCs w:val="32"/>
        </w:rPr>
      </w:pPr>
      <w:r>
        <w:rPr>
          <w:rStyle w:val="10"/>
          <w:rFonts w:hint="eastAsia" w:ascii="仿宋" w:hAnsi="仿宋" w:eastAsia="仿宋"/>
          <w:color w:val="333333"/>
          <w:sz w:val="32"/>
          <w:szCs w:val="32"/>
          <w:shd w:val="clear" w:color="auto" w:fill="FFFFFF"/>
        </w:rPr>
        <w:t>附件</w:t>
      </w:r>
    </w:p>
    <w:p>
      <w:pPr>
        <w:pStyle w:val="3"/>
        <w:spacing w:before="0" w:after="0"/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kern w:val="0"/>
          <w:sz w:val="44"/>
          <w:szCs w:val="44"/>
          <w:shd w:val="clear" w:color="auto" w:fill="FFFFFF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kern w:val="0"/>
          <w:sz w:val="44"/>
          <w:szCs w:val="44"/>
          <w:shd w:val="clear" w:color="auto" w:fill="FFFFFF"/>
          <w:lang w:val="en-US" w:eastAsia="zh-CN" w:bidi="ar-SA"/>
        </w:rPr>
        <w:t>区政府废止和宣布失效的行政规范性文件目录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3"/>
        <w:gridCol w:w="4963"/>
        <w:gridCol w:w="33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3" w:type="dxa"/>
            <w:vAlign w:val="center"/>
          </w:tcPr>
          <w:p>
            <w:pPr>
              <w:widowControl w:val="0"/>
              <w:spacing w:before="100" w:beforeAutospacing="1" w:after="100" w:afterAutospacing="1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44"/>
                <w:szCs w:val="44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序号</w:t>
            </w:r>
          </w:p>
        </w:tc>
        <w:tc>
          <w:tcPr>
            <w:tcW w:w="4963" w:type="dxa"/>
            <w:vAlign w:val="center"/>
          </w:tcPr>
          <w:p>
            <w:pPr>
              <w:widowControl w:val="0"/>
              <w:spacing w:before="100" w:beforeAutospacing="1" w:after="100" w:afterAutospacing="1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44"/>
                <w:szCs w:val="44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规范性文件名称</w:t>
            </w:r>
          </w:p>
        </w:tc>
        <w:tc>
          <w:tcPr>
            <w:tcW w:w="3314" w:type="dxa"/>
            <w:vAlign w:val="center"/>
          </w:tcPr>
          <w:p>
            <w:pPr>
              <w:widowControl w:val="0"/>
              <w:spacing w:before="100" w:beforeAutospacing="1" w:after="100" w:afterAutospacing="1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44"/>
                <w:szCs w:val="44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发文字号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3" w:type="dxa"/>
            <w:vAlign w:val="center"/>
          </w:tcPr>
          <w:p>
            <w:pPr>
              <w:widowControl w:val="0"/>
              <w:spacing w:before="100" w:beforeAutospacing="1" w:after="100" w:afterAutospacing="1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44"/>
                <w:szCs w:val="44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1</w:t>
            </w:r>
          </w:p>
        </w:tc>
        <w:tc>
          <w:tcPr>
            <w:tcW w:w="4963" w:type="dxa"/>
            <w:vAlign w:val="center"/>
          </w:tcPr>
          <w:p>
            <w:pPr>
              <w:widowControl w:val="0"/>
              <w:spacing w:before="100" w:beforeAutospacing="1" w:after="100" w:afterAutospacing="1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44"/>
                <w:szCs w:val="44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333333"/>
                <w:sz w:val="28"/>
                <w:szCs w:val="28"/>
                <w:shd w:val="clear" w:color="auto" w:fill="FFFFFF"/>
              </w:rPr>
              <w:t>《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关于进一步推进义务教育均衡发展的意见</w:t>
            </w:r>
            <w:r>
              <w:rPr>
                <w:rFonts w:hint="eastAsia" w:ascii="仿宋" w:hAnsi="仿宋" w:eastAsia="仿宋"/>
                <w:color w:val="333333"/>
                <w:sz w:val="28"/>
                <w:szCs w:val="28"/>
                <w:shd w:val="clear" w:color="auto" w:fill="FFFFFF"/>
              </w:rPr>
              <w:t>》</w:t>
            </w:r>
          </w:p>
        </w:tc>
        <w:tc>
          <w:tcPr>
            <w:tcW w:w="3314" w:type="dxa"/>
            <w:vAlign w:val="center"/>
          </w:tcPr>
          <w:p>
            <w:pPr>
              <w:widowControl w:val="0"/>
              <w:spacing w:before="100" w:beforeAutospacing="1" w:after="100" w:afterAutospacing="1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44"/>
                <w:szCs w:val="44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333333"/>
                <w:sz w:val="28"/>
                <w:szCs w:val="28"/>
                <w:shd w:val="clear" w:color="auto" w:fill="FFFFFF"/>
              </w:rPr>
              <w:t>（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老城政〔2013〕29号</w:t>
            </w:r>
            <w:r>
              <w:rPr>
                <w:rFonts w:hint="eastAsia" w:ascii="仿宋" w:hAnsi="仿宋" w:eastAsia="仿宋"/>
                <w:color w:val="333333"/>
                <w:sz w:val="28"/>
                <w:szCs w:val="28"/>
                <w:shd w:val="clear" w:color="auto" w:fill="FFFFFF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3" w:type="dxa"/>
            <w:vAlign w:val="center"/>
          </w:tcPr>
          <w:p>
            <w:pPr>
              <w:widowControl w:val="0"/>
              <w:spacing w:before="100" w:beforeAutospacing="1" w:after="100" w:afterAutospacing="1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44"/>
                <w:szCs w:val="44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2</w:t>
            </w:r>
          </w:p>
        </w:tc>
        <w:tc>
          <w:tcPr>
            <w:tcW w:w="4963" w:type="dxa"/>
            <w:vAlign w:val="center"/>
          </w:tcPr>
          <w:p>
            <w:pPr>
              <w:widowControl w:val="0"/>
              <w:spacing w:before="100" w:beforeAutospacing="1" w:after="100" w:afterAutospacing="1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44"/>
                <w:szCs w:val="44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333333"/>
                <w:sz w:val="28"/>
                <w:szCs w:val="28"/>
                <w:shd w:val="clear" w:color="auto" w:fill="FFFFFF"/>
              </w:rPr>
              <w:t>《关于印发老城区推进基层综合性文化服务中心建设实施方案的通知》</w:t>
            </w:r>
          </w:p>
        </w:tc>
        <w:tc>
          <w:tcPr>
            <w:tcW w:w="3314" w:type="dxa"/>
            <w:vAlign w:val="center"/>
          </w:tcPr>
          <w:p>
            <w:pPr>
              <w:widowControl w:val="0"/>
              <w:spacing w:before="100" w:beforeAutospacing="1" w:after="100" w:afterAutospacing="1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44"/>
                <w:szCs w:val="44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333333"/>
                <w:sz w:val="28"/>
                <w:szCs w:val="28"/>
                <w:shd w:val="clear" w:color="auto" w:fill="FFFFFF"/>
              </w:rPr>
              <w:t>（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老城政办〔2016〕70号</w:t>
            </w:r>
            <w:r>
              <w:rPr>
                <w:rFonts w:hint="eastAsia" w:ascii="仿宋" w:hAnsi="仿宋" w:eastAsia="仿宋"/>
                <w:color w:val="333333"/>
                <w:sz w:val="28"/>
                <w:szCs w:val="28"/>
                <w:shd w:val="clear" w:color="auto" w:fill="FFFFFF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3" w:type="dxa"/>
            <w:vAlign w:val="center"/>
          </w:tcPr>
          <w:p>
            <w:pPr>
              <w:widowControl w:val="0"/>
              <w:spacing w:before="100" w:beforeAutospacing="1" w:after="100" w:afterAutospacing="1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44"/>
                <w:szCs w:val="44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3</w:t>
            </w:r>
          </w:p>
        </w:tc>
        <w:tc>
          <w:tcPr>
            <w:tcW w:w="4963" w:type="dxa"/>
            <w:vAlign w:val="center"/>
          </w:tcPr>
          <w:p>
            <w:pPr>
              <w:widowControl w:val="0"/>
              <w:spacing w:before="100" w:beforeAutospacing="1" w:after="100" w:afterAutospacing="1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44"/>
                <w:szCs w:val="44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333333"/>
                <w:sz w:val="28"/>
                <w:szCs w:val="28"/>
                <w:shd w:val="clear" w:color="auto" w:fill="FFFFFF"/>
              </w:rPr>
              <w:t>《关于下发&lt;老城区行政执法全过程记录制度&gt;的通知》</w:t>
            </w:r>
          </w:p>
        </w:tc>
        <w:tc>
          <w:tcPr>
            <w:tcW w:w="3314" w:type="dxa"/>
            <w:vAlign w:val="center"/>
          </w:tcPr>
          <w:p>
            <w:pPr>
              <w:widowControl w:val="0"/>
              <w:spacing w:before="100" w:beforeAutospacing="1" w:after="100" w:afterAutospacing="1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44"/>
                <w:szCs w:val="44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333333"/>
                <w:sz w:val="28"/>
                <w:szCs w:val="28"/>
                <w:shd w:val="clear" w:color="auto" w:fill="FFFFFF"/>
              </w:rPr>
              <w:t>（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老城政办〔2017〕64号</w:t>
            </w:r>
            <w:r>
              <w:rPr>
                <w:rFonts w:hint="eastAsia" w:ascii="仿宋" w:hAnsi="仿宋" w:eastAsia="仿宋"/>
                <w:color w:val="333333"/>
                <w:sz w:val="28"/>
                <w:szCs w:val="28"/>
                <w:shd w:val="clear" w:color="auto" w:fill="FFFFFF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3" w:type="dxa"/>
            <w:vAlign w:val="center"/>
          </w:tcPr>
          <w:p>
            <w:pPr>
              <w:widowControl w:val="0"/>
              <w:spacing w:before="100" w:beforeAutospacing="1" w:after="100" w:afterAutospacing="1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44"/>
                <w:szCs w:val="44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4</w:t>
            </w:r>
          </w:p>
        </w:tc>
        <w:tc>
          <w:tcPr>
            <w:tcW w:w="4963" w:type="dxa"/>
            <w:vAlign w:val="center"/>
          </w:tcPr>
          <w:p>
            <w:pPr>
              <w:widowControl w:val="0"/>
              <w:spacing w:before="100" w:beforeAutospacing="1" w:after="100" w:afterAutospacing="1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44"/>
                <w:szCs w:val="44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333333"/>
                <w:sz w:val="28"/>
                <w:szCs w:val="28"/>
                <w:shd w:val="clear" w:color="auto" w:fill="FFFFFF"/>
              </w:rPr>
              <w:t>《关于印发老城区2018年水污染防治攻坚战实施方案的通知》</w:t>
            </w:r>
          </w:p>
        </w:tc>
        <w:tc>
          <w:tcPr>
            <w:tcW w:w="3314" w:type="dxa"/>
            <w:vAlign w:val="center"/>
          </w:tcPr>
          <w:p>
            <w:pPr>
              <w:widowControl w:val="0"/>
              <w:spacing w:before="100" w:beforeAutospacing="1" w:after="100" w:afterAutospacing="1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44"/>
                <w:szCs w:val="44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333333"/>
                <w:sz w:val="28"/>
                <w:szCs w:val="28"/>
                <w:shd w:val="clear" w:color="auto" w:fill="FFFFFF"/>
              </w:rPr>
              <w:t>（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老城政办〔2018〕25号</w:t>
            </w:r>
            <w:r>
              <w:rPr>
                <w:rFonts w:hint="eastAsia" w:ascii="仿宋" w:hAnsi="仿宋" w:eastAsia="仿宋"/>
                <w:color w:val="333333"/>
                <w:sz w:val="28"/>
                <w:szCs w:val="28"/>
                <w:shd w:val="clear" w:color="auto" w:fill="FFFFFF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6" w:hRule="atLeast"/>
        </w:trPr>
        <w:tc>
          <w:tcPr>
            <w:tcW w:w="663" w:type="dxa"/>
            <w:vAlign w:val="center"/>
          </w:tcPr>
          <w:p>
            <w:pPr>
              <w:widowControl w:val="0"/>
              <w:spacing w:before="100" w:beforeAutospacing="1" w:after="100" w:afterAutospacing="1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44"/>
                <w:szCs w:val="44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5</w:t>
            </w:r>
          </w:p>
        </w:tc>
        <w:tc>
          <w:tcPr>
            <w:tcW w:w="4963" w:type="dxa"/>
            <w:vAlign w:val="center"/>
          </w:tcPr>
          <w:p>
            <w:pPr>
              <w:widowControl w:val="0"/>
              <w:spacing w:before="100" w:beforeAutospacing="1" w:after="100" w:afterAutospacing="1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44"/>
                <w:szCs w:val="44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333333"/>
                <w:sz w:val="28"/>
                <w:szCs w:val="28"/>
                <w:shd w:val="clear" w:color="auto" w:fill="FFFFFF"/>
              </w:rPr>
              <w:t>《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关于农贸市场改造提升的实施方案</w:t>
            </w:r>
            <w:r>
              <w:rPr>
                <w:rFonts w:hint="eastAsia" w:ascii="仿宋" w:hAnsi="仿宋" w:eastAsia="仿宋"/>
                <w:color w:val="333333"/>
                <w:sz w:val="28"/>
                <w:szCs w:val="28"/>
                <w:shd w:val="clear" w:color="auto" w:fill="FFFFFF"/>
              </w:rPr>
              <w:t>》</w:t>
            </w:r>
          </w:p>
        </w:tc>
        <w:tc>
          <w:tcPr>
            <w:tcW w:w="3314" w:type="dxa"/>
            <w:vAlign w:val="center"/>
          </w:tcPr>
          <w:p>
            <w:pPr>
              <w:widowControl w:val="0"/>
              <w:spacing w:before="100" w:beforeAutospacing="1" w:after="100" w:afterAutospacing="1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44"/>
                <w:szCs w:val="44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333333"/>
                <w:sz w:val="28"/>
                <w:szCs w:val="28"/>
                <w:shd w:val="clear" w:color="auto" w:fill="FFFFFF"/>
              </w:rPr>
              <w:t>（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老城政办〔2018〕33号</w:t>
            </w:r>
            <w:r>
              <w:rPr>
                <w:rFonts w:hint="eastAsia" w:ascii="仿宋" w:hAnsi="仿宋" w:eastAsia="仿宋"/>
                <w:color w:val="333333"/>
                <w:sz w:val="28"/>
                <w:szCs w:val="28"/>
                <w:shd w:val="clear" w:color="auto" w:fill="FFFFFF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3" w:type="dxa"/>
            <w:vAlign w:val="center"/>
          </w:tcPr>
          <w:p>
            <w:pPr>
              <w:widowControl w:val="0"/>
              <w:spacing w:before="100" w:beforeAutospacing="1" w:after="100" w:afterAutospacing="1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44"/>
                <w:szCs w:val="44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6</w:t>
            </w:r>
          </w:p>
        </w:tc>
        <w:tc>
          <w:tcPr>
            <w:tcW w:w="4963" w:type="dxa"/>
            <w:vAlign w:val="center"/>
          </w:tcPr>
          <w:p>
            <w:pPr>
              <w:widowControl w:val="0"/>
              <w:spacing w:before="100" w:beforeAutospacing="1" w:after="100" w:afterAutospacing="1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44"/>
                <w:szCs w:val="44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333333"/>
                <w:sz w:val="28"/>
                <w:szCs w:val="28"/>
                <w:shd w:val="clear" w:color="auto" w:fill="FFFFFF"/>
              </w:rPr>
              <w:t>《关于印发&lt;老城区国有土地上房屋征收项目补偿安置补充意见&gt;的通知》</w:t>
            </w:r>
          </w:p>
        </w:tc>
        <w:tc>
          <w:tcPr>
            <w:tcW w:w="3314" w:type="dxa"/>
            <w:vAlign w:val="center"/>
          </w:tcPr>
          <w:p>
            <w:pPr>
              <w:widowControl w:val="0"/>
              <w:spacing w:before="100" w:beforeAutospacing="1" w:after="100" w:afterAutospacing="1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kern w:val="0"/>
                <w:sz w:val="44"/>
                <w:szCs w:val="44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333333"/>
                <w:sz w:val="28"/>
                <w:szCs w:val="28"/>
                <w:shd w:val="clear" w:color="auto" w:fill="FFFFFF"/>
              </w:rPr>
              <w:t>（</w:t>
            </w: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老城政〔2020〕13号</w:t>
            </w:r>
            <w:r>
              <w:rPr>
                <w:rFonts w:hint="eastAsia" w:ascii="仿宋" w:hAnsi="仿宋" w:eastAsia="仿宋"/>
                <w:color w:val="333333"/>
                <w:sz w:val="28"/>
                <w:szCs w:val="28"/>
                <w:shd w:val="clear" w:color="auto" w:fill="FFFFFF"/>
              </w:rPr>
              <w:t>）</w:t>
            </w:r>
          </w:p>
        </w:tc>
      </w:tr>
    </w:tbl>
    <w:p>
      <w:pPr>
        <w:pStyle w:val="6"/>
        <w:shd w:val="clear" w:color="auto" w:fill="FFFFFF"/>
        <w:spacing w:before="0" w:beforeAutospacing="0" w:after="0" w:afterAutospacing="0" w:line="12" w:lineRule="atLeast"/>
        <w:rPr>
          <w:rFonts w:hint="eastAsia" w:ascii="仿宋" w:hAnsi="仿宋" w:eastAsia="仿宋" w:cs="仿宋_GB2312"/>
          <w:color w:val="000000"/>
          <w:sz w:val="32"/>
          <w:szCs w:val="32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962" w:right="1474" w:bottom="1848" w:left="1587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NEU-BZ">
    <w:altName w:val="宋体"/>
    <w:panose1 w:val="00000000000000000000"/>
    <w:charset w:val="86"/>
    <w:family w:val="auto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left="5016" w:leftChars="2280" w:firstLine="6400" w:firstLineChars="2000"/>
      <w:rPr>
        <w:rFonts w:eastAsia="仿宋"/>
        <w:sz w:val="32"/>
        <w:szCs w:val="48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LQ8m0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By0PJt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仿宋"/>
        <w:sz w:val="32"/>
        <w:szCs w:val="48"/>
      </w:rPr>
      <w:t xml:space="preserve">  </w:t>
    </w:r>
  </w:p>
  <w:p>
    <w:pPr>
      <w:pStyle w:val="5"/>
      <w:wordWrap w:val="0"/>
      <w:ind w:left="895" w:leftChars="407" w:firstLine="10518" w:firstLineChars="3287"/>
      <w:jc w:val="right"/>
      <w:rPr>
        <w:rFonts w:ascii="宋体" w:hAnsi="宋体" w:cs="宋体"/>
        <w:b/>
        <w:bCs/>
        <w:color w:val="005192"/>
        <w:sz w:val="28"/>
        <w:szCs w:val="44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74295</wp:posOffset>
              </wp:positionV>
              <wp:extent cx="5616575" cy="1905"/>
              <wp:effectExtent l="0" t="10795" r="3175" b="15875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5.85pt;height:0.15pt;width:442.25pt;z-index:251660288;mso-width-relative:page;mso-height-relative:page;" filled="f" stroked="t" coordsize="21600,21600" o:gfxdata="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Dzp6XR1AAA&#10;AAYBAAAPAAAAAAAAAAEAIAAAACIAAABkcnMvZG93bnJldi54bWxQSwECFAAUAAAACACHTuJA8DYt&#10;KekBAAC1AwAADgAAAAAAAAABACAAAAAjAQAAZHJzL2Uyb0RvYy54bWxQSwUGAAAAAAYABgBZAQAA&#10;fg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ascii="宋体" w:hAnsi="宋体" w:cs="宋体"/>
        <w:b/>
        <w:bCs/>
        <w:color w:val="005192"/>
        <w:sz w:val="28"/>
        <w:szCs w:val="44"/>
      </w:rPr>
      <w:t xml:space="preserve">洛洛阳市老城区人民政府发布    </w:t>
    </w:r>
  </w:p>
  <w:p>
    <w:pPr>
      <w:pStyle w:val="5"/>
      <w:wordWrap w:val="0"/>
      <w:ind w:left="5016" w:leftChars="2280" w:firstLine="5622" w:firstLineChars="2000"/>
      <w:jc w:val="right"/>
      <w:rPr>
        <w:rFonts w:ascii="宋体" w:hAnsi="宋体" w:cs="宋体"/>
        <w:b/>
        <w:bCs/>
        <w:color w:val="005192"/>
        <w:sz w:val="28"/>
        <w:szCs w:val="44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widowControl w:val="0"/>
      <w:textAlignment w:val="center"/>
      <w:rPr>
        <w:rFonts w:ascii="宋体" w:hAnsi="宋体" w:cs="宋体"/>
        <w:b/>
        <w:bCs/>
        <w:color w:val="005192"/>
        <w:sz w:val="32"/>
      </w:rPr>
    </w:pPr>
    <w:r>
      <w:rPr>
        <w:rFonts w:hint="eastAsia" w:ascii="宋体" w:hAnsi="宋体" w:cs="宋体"/>
        <w:b/>
        <w:bCs/>
        <w:color w:val="005192"/>
        <w:sz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-3810</wp:posOffset>
              </wp:positionH>
              <wp:positionV relativeFrom="paragraph">
                <wp:posOffset>690245</wp:posOffset>
              </wp:positionV>
              <wp:extent cx="5620385" cy="0"/>
              <wp:effectExtent l="0" t="10795" r="18415" b="1778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0.3pt;margin-top:54.35pt;height:0pt;width:442.55pt;z-index:251659264;mso-width-relative:page;mso-height-relative:page;" filled="f" stroked="t" coordsize="21600,21600" o:gfxdata="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1EdA1tUAAAAJAQAADwAAAAAAAAABACAAAAAiAAAAZHJzL2Rvd25yZXYueG1sUEsBAhQAFAAA&#10;AAgAh07iQAXuux7yAQAAvQMAAA4AAAAAAAAAAQAgAAAAJAEAAGRycy9lMm9Eb2MueG1sUEsFBgAA&#10;AAAGAAYAWQEAAIgFAAAAAA=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5"/>
      <w:widowControl w:val="0"/>
      <w:textAlignment w:val="center"/>
      <w:rPr>
        <w:rFonts w:ascii="宋体" w:hAnsi="宋体" w:cs="宋体"/>
        <w:b/>
        <w:bCs/>
        <w:color w:val="005192"/>
        <w:sz w:val="32"/>
        <w:szCs w:val="32"/>
      </w:rPr>
    </w:pPr>
    <w:r>
      <w:rPr>
        <w:rFonts w:hint="eastAsia" w:ascii="宋体" w:hAnsi="宋体" w:cs="宋体"/>
        <w:b/>
        <w:bCs/>
        <w:color w:val="005192"/>
        <w:sz w:val="32"/>
      </w:rPr>
      <w:t>洛阳市</w:t>
    </w:r>
    <w:r>
      <w:rPr>
        <w:rFonts w:hint="eastAsia" w:ascii="宋体" w:hAnsi="宋体" w:cs="宋体"/>
        <w:b/>
        <w:bCs/>
        <w:color w:val="005192"/>
        <w:sz w:val="32"/>
        <w:szCs w:val="32"/>
      </w:rPr>
      <w:t>老城区人民政府行政规范性文件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NiNjM5OWQ3N2U4ZjBhNmIyMzUyZmExNzYxZmFmYmUifQ=="/>
  </w:docVars>
  <w:rsids>
    <w:rsidRoot w:val="6C68409E"/>
    <w:rsid w:val="6C684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qFormat="1" w:uiPriority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Calibri" w:hAnsi="NEU-BZ" w:eastAsia="宋体" w:cs="Times New Roman"/>
      <w:sz w:val="22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9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99"/>
    <w:rPr>
      <w:rFonts w:ascii="宋体" w:hAnsi="宋体" w:cs="宋体"/>
      <w:sz w:val="21"/>
      <w:szCs w:val="21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6">
    <w:name w:val="Normal (Web)"/>
    <w:basedOn w:val="1"/>
    <w:semiHidden/>
    <w:unhideWhenUsed/>
    <w:qFormat/>
    <w:uiPriority w:val="0"/>
    <w:pPr>
      <w:spacing w:before="100" w:beforeAutospacing="1" w:after="100" w:afterAutospacing="1"/>
    </w:pPr>
    <w:rPr>
      <w:rFonts w:ascii="宋体" w:hAnsi="宋体" w:cs="宋体"/>
      <w:sz w:val="24"/>
      <w:szCs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2024-04-29T02:16:00Z</dcterms:created>
  <dc:creator>染尘</dc:creator>
  <cp:lastModifiedBy>染尘</cp:lastModifiedBy>
  <dcterms:modified xsi:type="dcterms:W3CDTF">2024-04-29T02:16:31Z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305B6700EE224BECABB8D80818C7AF9D_11</vt:lpwstr>
  </property>
</Properties>
</file>