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600" w:lineRule="exact"/>
        <w:jc w:val="both"/>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1</w:t>
      </w:r>
    </w:p>
    <w:p>
      <w:pPr>
        <w:widowControl w:val="0"/>
        <w:spacing w:line="600" w:lineRule="exact"/>
        <w:jc w:val="both"/>
        <w:rPr>
          <w:rFonts w:ascii="仿宋" w:hAnsi="仿宋" w:eastAsia="仿宋"/>
          <w:sz w:val="32"/>
          <w:szCs w:val="32"/>
        </w:rPr>
      </w:pPr>
    </w:p>
    <w:p>
      <w:pPr>
        <w:widowControl w:val="0"/>
        <w:spacing w:line="600" w:lineRule="exact"/>
        <w:jc w:val="center"/>
        <w:rPr>
          <w:rFonts w:hint="eastAsia" w:ascii="仿宋" w:hAnsi="仿宋" w:eastAsia="仿宋"/>
          <w:sz w:val="44"/>
          <w:szCs w:val="44"/>
        </w:rPr>
      </w:pPr>
      <w:bookmarkStart w:id="0" w:name="_GoBack"/>
      <w:r>
        <w:rPr>
          <w:rFonts w:hint="eastAsia" w:ascii="仿宋" w:hAnsi="仿宋" w:eastAsia="仿宋"/>
          <w:sz w:val="44"/>
          <w:szCs w:val="44"/>
        </w:rPr>
        <w:t>老城区老旧小区组团连片改造工作</w:t>
      </w:r>
    </w:p>
    <w:p>
      <w:pPr>
        <w:widowControl w:val="0"/>
        <w:spacing w:line="600" w:lineRule="exact"/>
        <w:jc w:val="center"/>
        <w:rPr>
          <w:rFonts w:ascii="仿宋" w:hAnsi="仿宋" w:eastAsia="仿宋"/>
          <w:sz w:val="44"/>
          <w:szCs w:val="44"/>
        </w:rPr>
      </w:pPr>
      <w:r>
        <w:rPr>
          <w:rFonts w:hint="eastAsia" w:ascii="仿宋" w:hAnsi="仿宋" w:eastAsia="仿宋"/>
          <w:sz w:val="44"/>
          <w:szCs w:val="44"/>
        </w:rPr>
        <w:t>职能分工</w:t>
      </w:r>
    </w:p>
    <w:bookmarkEnd w:id="0"/>
    <w:p>
      <w:pPr>
        <w:widowControl w:val="0"/>
        <w:spacing w:line="600" w:lineRule="exact"/>
        <w:jc w:val="center"/>
        <w:rPr>
          <w:rFonts w:hint="eastAsia" w:ascii="仿宋" w:hAnsi="仿宋" w:eastAsia="仿宋"/>
          <w:sz w:val="44"/>
          <w:szCs w:val="44"/>
        </w:rPr>
      </w:pP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根据《老城区老旧小区组团连片改造工作实施方案》，现将各部门职能分工如下：</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住建局为实施老旧小区组团连片改造工作牵头单位，要根据本实施方案确定的改造范围、内容和标准，协同相关职能部门，研究制定本辖区的工作方案和规划设计、施工组织方案，及时协调解决改造实施中出现的各种问题，全面负责本辖区城镇老旧小区组团连片改造工作和验收工作；指导、检查、督导城镇老旧小区组团连片改造工作，督促各单位及时办理零星老旧小区加装电梯施工许可证，并加强老旧小区改造工程质量管理，指导全区绿色社区创建行动；指导全区老旧小区改造中的物业管理，对改造后的城镇老旧小区及时引入专业化物业服务企业；督导全区物业公司积极配合城镇老旧小区改造、加装电梯和增添健身器材等便民服务设施设备工作；协助全市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区委组织部：指导各街道办事处党工委落实推进“党建引领、‘四治’并进、服务进村（社区）”与老旧小区改造相关的工作。</w:t>
      </w:r>
    </w:p>
    <w:p>
      <w:pPr>
        <w:widowControl w:val="0"/>
        <w:spacing w:line="600" w:lineRule="exact"/>
        <w:ind w:firstLine="640" w:firstLineChars="200"/>
        <w:jc w:val="both"/>
        <w:rPr>
          <w:rFonts w:ascii="仿宋" w:hAnsi="仿宋" w:eastAsia="仿宋"/>
          <w:sz w:val="32"/>
          <w:szCs w:val="32"/>
        </w:rPr>
      </w:pPr>
      <w:r>
        <w:rPr>
          <w:rFonts w:hint="eastAsia" w:ascii="仿宋" w:hAnsi="仿宋" w:eastAsia="仿宋"/>
          <w:sz w:val="32"/>
          <w:szCs w:val="32"/>
        </w:rPr>
        <w:t>区委宣传部：指导老旧小区组团连片改造工作的宣传引导工作。</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区委政法委：指导老旧小区组团连片改造工作中智慧安防建设的整体统筹、督导验收工作。</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财政局：要加强对已下达的中央预算内资金项目监管，落实项目建设单位主体责任和日常监管单位直接责任，严格执行项目投资计划，按节点要求进行项目建设和资金支付。会同城镇老旧小区组团连片改造工作牵头单位联合制定改造工程奖补办法；及时下达发改、财政、住建、自然资源、城管、民政、教育、卫生、体育、消防、商务、生态环境、文化旅游、社会治安等相关部门有关老旧小区配套设施相关政策性资金，集中用于城镇老旧小区组团连片改造，严格按照规定用好上级资金；落实《洛阳市既有住宅加装电梯财政补贴申领办法》（洛建〔</w:t>
      </w:r>
      <w:r>
        <w:rPr>
          <w:rFonts w:ascii="仿宋" w:hAnsi="仿宋" w:eastAsia="仿宋"/>
          <w:sz w:val="32"/>
          <w:szCs w:val="32"/>
        </w:rPr>
        <w:t>2020〕13号）。</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区文明办：配合区城镇老旧小区改造提质工作领导小组办公室做好城镇老旧小区组团连片改造工作中物业全覆盖工作的统筹、协调和督导工作；协助全区绿色社区创建行动的检查、指导。</w:t>
      </w:r>
    </w:p>
    <w:p>
      <w:pPr>
        <w:widowControl w:val="0"/>
        <w:spacing w:line="600" w:lineRule="exact"/>
        <w:ind w:firstLine="640" w:firstLineChars="200"/>
        <w:jc w:val="both"/>
        <w:rPr>
          <w:rFonts w:ascii="仿宋" w:hAnsi="仿宋" w:eastAsia="仿宋"/>
          <w:sz w:val="32"/>
          <w:szCs w:val="32"/>
        </w:rPr>
      </w:pPr>
      <w:r>
        <w:rPr>
          <w:rFonts w:hint="eastAsia" w:ascii="仿宋" w:hAnsi="仿宋" w:eastAsia="仿宋"/>
          <w:sz w:val="32"/>
          <w:szCs w:val="32"/>
        </w:rPr>
        <w:t>市自然资源和规划局老城分局（自然资源和规划综合执法支队老城大队）：对老旧小区改造工作中涉及需要办理备案（或审批）手续的新增项目开通绿色通道，及时协助办理备案（或审批）手续；负责城镇老旧小区组团连片改造范围内的违法建筑的认定工作。</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区发改委：指导全区对口部门办理城镇老旧小区组团连片改造工作相关项目的立项手续，优化审批程序，开辟绿色通道；协助全区绿色社区创建行动的检查、指导。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区民政局：指导做好城镇老旧小区组团连片改造工作中涉及的养老设施建设项目的规划、建设、管理工作，以及相关项目的资金使用管理和绩效评价工作；协助全区绿色社区创建行动的检查、指导。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市生态环境局老城分局：指导、监督、考核城镇老旧小区组团连片范围内的“散乱污”企业治理等；协助全区绿色社区创建行动的检查、指导。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市公安局老城分局：在区政法委指导下，监督、指导、考核城镇老旧小区组团连片改造工作中涉及的老旧小区智慧安防工作，协助有关部门开展改造工作；协助全区绿色社区创建行动的检查、指导。</w:t>
      </w:r>
    </w:p>
    <w:p>
      <w:pPr>
        <w:widowControl w:val="0"/>
        <w:spacing w:line="600" w:lineRule="exact"/>
        <w:ind w:firstLine="640" w:firstLineChars="200"/>
        <w:jc w:val="both"/>
        <w:rPr>
          <w:rFonts w:ascii="仿宋" w:hAnsi="仿宋" w:eastAsia="仿宋"/>
          <w:sz w:val="32"/>
          <w:szCs w:val="32"/>
        </w:rPr>
      </w:pPr>
      <w:r>
        <w:rPr>
          <w:rFonts w:hint="eastAsia" w:ascii="仿宋" w:hAnsi="仿宋" w:eastAsia="仿宋"/>
          <w:sz w:val="32"/>
          <w:szCs w:val="32"/>
        </w:rPr>
        <w:t>区城管局：指导、监督、考核城镇老旧小区组团连片改造工作中涉及的市容环境综合整治的整体统筹、方案制定；指导各办事处清除小区小广告、违规户外广告；指导完成有关管道与市政管道的对接、改造和小区道路维修等工作；协调公用事业单位按照整治内容对小区水、气、暖设施及管道进行维护和改造；指导做好老旧小区垃圾分类处理、沿街门店整治等工作；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区审计局：指导老旧小区组团连片改造工作相关项目的审计监督工作，及时跟踪，主动服务，对发现的问题及时指出、督促纠正。</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区市场监管局：指导老旧小区组团连片改造工作中涉及的电梯加装的监督管理，落实安全技术规范，按照《洛阳市既有建筑加装电梯工程建设项目审批实施细则（试行）》（洛工程改革办〔</w:t>
      </w:r>
      <w:r>
        <w:rPr>
          <w:rFonts w:ascii="仿宋" w:hAnsi="仿宋" w:eastAsia="仿宋"/>
          <w:sz w:val="32"/>
          <w:szCs w:val="32"/>
        </w:rPr>
        <w:t>2020〕5号）对既有建筑加装电梯工程建设项目落实特种设备使用登记，积极推动电梯加装工作；协助全区绿色社区创建行动的检查、指导。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区文化和旅游局：指导老旧小区组团连片改造工作中涉及的城市书房等基层公共文化服务设施建设。</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区卫健委：指导老旧小区组团连片改造工作中涉及的社区、村镇等相关医疗卫生服务设施建设。</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教体局：指导老旧小区组团连片改造中涉及的健身器材等便民服务设施设备的建设工作，监督、指导有关单位对健身器材等便民服务设施器材的管理维护工作。指导、督促老旧小区组团连片改造涉及的教育部门、学校、资产管理单位配合改造工作，并按绿色社区创建行动要求开展环境整治。</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消防救援大队：指导检查老旧小区组团连片改造工作中涉及的消防设施设备的加装和改造工作，以及消防通道设置和管理等工作；对改造后仍无法满足消防相关标准规范要求的小区，组织有关部门共同制定防火、救援、管理的综合解决方案，确保小区消防安全。</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区商工局：指导做好老旧小区组团连片改造中涉及的农贸市场和批发市场的改造提升、关闭或疏解外迁等工作的牵头协调和督查督导。</w:t>
      </w:r>
    </w:p>
    <w:p>
      <w:pPr>
        <w:widowControl w:val="0"/>
        <w:spacing w:line="600" w:lineRule="exact"/>
        <w:jc w:val="both"/>
        <w:rPr>
          <w:rFonts w:hint="eastAsia" w:ascii="仿宋" w:hAnsi="仿宋" w:eastAsia="仿宋"/>
          <w:sz w:val="32"/>
          <w:szCs w:val="32"/>
        </w:rPr>
      </w:pPr>
      <w:r>
        <w:rPr>
          <w:rFonts w:ascii="仿宋" w:hAnsi="仿宋" w:eastAsia="仿宋"/>
          <w:sz w:val="32"/>
          <w:szCs w:val="32"/>
        </w:rPr>
        <w:t xml:space="preserve">   各街道办事处：落实属地管理责任，发挥党建引领作用，广泛开展老旧小区改造政策宣传、群众动员、违建拆除、环境保障等工作。</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专业经营企业：做好老旧小区组团连片改造工作中涉及本单位产权的相关线路的规整、入地工作，废弃管线的清理工作，组织有关仪表、箱体、变压器等相关设施的刷新、更换、迁改、新建等工作，以及相关资金筹措工作。</w:t>
      </w: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0000000000000000000"/>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4"/>
      <w:wordWrap w:val="0"/>
      <w:ind w:left="895" w:leftChars="407" w:firstLine="10518" w:firstLineChars="3287"/>
      <w:jc w:val="right"/>
      <w:rPr>
        <w:rFonts w:ascii="宋体" w:hAnsi="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rPr>
      <w:t xml:space="preserve">洛洛阳市老城区人民政府办公室发布    </w:t>
    </w:r>
  </w:p>
  <w:p>
    <w:pPr>
      <w:pStyle w:val="4"/>
      <w:wordWrap w:val="0"/>
      <w:ind w:left="5016"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val="0"/>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widowControl w:val="0"/>
      <w:textAlignment w:val="center"/>
      <w:rPr>
        <w:rFonts w:ascii="宋体" w:hAnsi="宋体" w:cs="宋体"/>
        <w:b/>
        <w:bCs/>
        <w:color w:val="005192"/>
        <w:sz w:val="32"/>
        <w:szCs w:val="32"/>
      </w:rPr>
    </w:pPr>
    <w:r>
      <w:rPr>
        <w:rFonts w:hint="eastAsia" w:ascii="宋体" w:hAnsi="宋体" w:cs="宋体"/>
        <w:b/>
        <w:bCs/>
        <w:color w:val="005192"/>
        <w:sz w:val="32"/>
      </w:rPr>
      <w:t>洛阳市</w:t>
    </w:r>
    <w:r>
      <w:rPr>
        <w:rFonts w:hint="eastAsia" w:ascii="宋体" w:hAnsi="宋体" w:cs="宋体"/>
        <w:b/>
        <w:bCs/>
        <w:color w:val="005192"/>
        <w:sz w:val="32"/>
        <w:szCs w:val="32"/>
      </w:rPr>
      <w:t>老城区人民政府办公室行政规范性文件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iNjM5OWQ3N2U4ZjBhNmIyMzUyZmExNzYxZmFmYmUifQ=="/>
  </w:docVars>
  <w:rsids>
    <w:rsidRoot w:val="2A851830"/>
    <w:rsid w:val="2A851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Plain Text"/>
    <w:basedOn w:val="1"/>
    <w:qFormat/>
    <w:uiPriority w:val="99"/>
    <w:rPr>
      <w:rFonts w:ascii="宋体" w:hAnsi="宋体" w:cs="宋体"/>
      <w:sz w:val="21"/>
      <w:szCs w:val="21"/>
    </w:rPr>
  </w:style>
  <w:style w:type="paragraph" w:styleId="3">
    <w:name w:val="footer"/>
    <w:basedOn w:val="1"/>
    <w:qFormat/>
    <w:uiPriority w:val="0"/>
    <w:pPr>
      <w:tabs>
        <w:tab w:val="center" w:pos="4153"/>
        <w:tab w:val="right" w:pos="8306"/>
      </w:tabs>
      <w:snapToGrid w:val="0"/>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2024-04-26T01:42:00Z</dcterms:created>
  <dc:creator>染尘</dc:creator>
  <cp:lastModifiedBy>染尘</cp:lastModifiedBy>
  <dcterms:modified xsi:type="dcterms:W3CDTF">2024-04-26T01:43:13Z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10A88A07075D4B2F82976B9361D132A5_11</vt:lpwstr>
  </property>
</Properties>
</file>