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spacing w:before="100" w:beforeAutospacing="1" w:after="100" w:afterAutospacing="1"/>
        <w:jc w:val="cente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bookmarkStart w:id="0" w:name="_GoBack"/>
      <w: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t>重点工作任务分工表</w:t>
      </w:r>
    </w:p>
    <w:bookmarkEnd w:id="0"/>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304"/>
        <w:gridCol w:w="1541"/>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序号</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工作任务</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牵头单位</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2021年，全区高新技术产业增加值占规上工业增加值比重突破45%；2023年，高新技术产业增加值占规上工业增加值比重达47%；2025年，高新技术产业增加值占规上工业增加值比重达50%。</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区统计局、各街道办事处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2021年，全社会研发投入占地区生产总值的比重达2.5%；2023年，全社会研发投入占地区生产总值的比重达2.7%；2025年，全社会研发投入占地区生产总值的比重达3.0%。</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区统计局、区财政局、各街道办事处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3</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精准服务企业向科技型企业转型，建立科技、财政、税务、市场监管、统计等多部门的企业信息共享与科技型企业协同培育机制，推动更多符合条件的科技型中小企业“应评尽评、应入尽入”。2025年，全区国家科技型中小企业总量达到100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4</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强化服务培育高新技术企业，以国家科技型中小企业为重点，街道办事处联动、部门协同建立高新技术企业培育库。街道办事处、各相关部门应设置入库企业培育台账，建立挂钩帮扶机制。2025年，全市高新技术企业达到45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区财政局、区税务局、区市场监管局，各街道办事处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5</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推动载体孵育初创期科技企业，依托孵化载体建设高质量的创新主体孵育基地。2025年，实现省级及以上孵化载体培育科技型中小企业高新技术企业数量“清零”，孵化载体、科技园区成为培育科技型初创企业的重要力量。</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6</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建立创新引领型企业培育库，对标河南省创新龙头企业、“瞪羚”企业、“雏鹰”企业、“独角兽”企业等创新引领型企业标准，进行分类培育。2025年，“雏鹰”企业达到10家以上、“瞪羚”企业达到2家以上。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区财政局、区发改委、区商工局、各街道办事处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7</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推动创新主体上市，建立创新主体挂牌上市后备资源库，动态管理，梯度培育。优化上市、挂牌及后备企业的发展环境。对在中国证监会或交易所审核、河南证监局辅导的企业以及部分重点上市后备企业实行区级领导分包联系制。2025年，力争实现上市公司1家，上市后备企业5家。</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区金融局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区科技局、区发改委、区商工局、区财政局，各街道办事处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8</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优化办事流程服务市场主体，各街道办事处、相关部门要为市场主体的注册、备案、发展提供优良的营商环境，聚焦企业办理量大的高频事项，简化优化事前审批，强化事中事后监管，维护企业投资主体地位，营造效能最高、用时最短的市场主体准入环境。</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区发改委、区商工局、区税务局，各街道办事处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9</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科技、市场监管、税务等部门应利用信息平台办事窗口等渠道向企业宣传创新主体培育政策。</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区税务局、区科技局，各街道办事处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10</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古都科创园产业发展和创新需求，在财税扶持、知识产权保护、高端人才引进、科技金融结合等方面予以支持。加快建设科创园区，打造先进制造业与科研院所结合孵化平台，在成功引进电磁材料与器件技术研究院、三众智慧节能产业研究院、联想深慧视产业技术研究院等产院结合项目的基础上，采取有力措施扩大其辐射功能，加快古都科创园西区和北区建设，高标准引进一批科技创新型企业，吸引各类优质创新主体在老城落地聚集，重点打造以高端电子、磁性新材料、5G、互联网等战略新兴产业为核心，先进制造业为引领，科技专利和知识产权产品交易为衍生，商业服务和人才培训为配套的多层次产业机构和产院结合孵化平台。</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11</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争取古都科创园2021年升级为省级科技孵化器；2023年，争取升级为国家级科技孵化器。</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12</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老城以现代物流、文化旅游为主导产业，以科技服务、牡丹、现代农业为特色产业的“223”现代产业体系，有效整合、优化配置创新平台资源，提高资源配置效率和使用效益，提升区域创新体系整体效能。区科技局、发改委、商工局等相关部门要健全创新平台扶持政策，修订完善创新平台管理办法。区科技局、发改委、商工局等相关部门要加强统筹协调和密切协作，推动企业研发中心、企业技术中心、工程研究中心、制造业创新中心等各类创新平台建设。重点推动洛阳市浪潮消防科技股份有限公司拟建的河南省消防灭火剂及消防装备工程技术研究中心和特富特电磁科技（洛阳）有限公司组建的河南省磁性器件及材料工程技术中心、信成精密机械有限公司组建的电蚀工程技术中心三个市级研发平台升级项目。2025年，创新平台数量达到100个以上，其中省级以上研发平台10个。</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区发改委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区商工局</w:t>
            </w:r>
          </w:p>
        </w:tc>
        <w:tc>
          <w:tcPr>
            <w:tcW w:w="1446" w:type="dxa"/>
            <w:vAlign w:val="center"/>
          </w:tcPr>
          <w:p>
            <w:pPr>
              <w:keepNext w:val="0"/>
              <w:keepLines w:val="0"/>
              <w:widowControl/>
              <w:suppressLineNumbers w:val="0"/>
              <w:spacing w:before="0" w:beforeAutospacing="0" w:after="0" w:afterAutospacing="0"/>
              <w:ind w:left="0" w:leftChars="0" w:right="0" w:rightChars="0"/>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13</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先进装备制造、文化与科技融合、新材料等产业创新需求，引进知名高校创新资源，开展成果转化、企业孵化和技术服务，建设集平台型、引领型、突破型于一体的综合性应用技术研究基地，提升产业链原始创新能力。2021年，推进洛阳智慧节能技术研究院落地建设，开展节能技术等技术研发和成果转化；推进华北水利水电与水利勘测设计有限公司、河南科技大学与洛阳风动工具有限公司、洛阳理工学院与港信玻璃、信成精密，洛阳职业技术学院与洛阳鑫鼎源器件有限公司等校企技术合作。2025年，引进高校高层次创新团队2个以上，落地产业化项目5项，申请专利20项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各街道办事处</w:t>
            </w:r>
          </w:p>
        </w:tc>
      </w:tr>
    </w:tbl>
    <w:p>
      <w:pPr>
        <w:pStyle w:val="2"/>
        <w:rPr>
          <w:rFonts w:hint="eastAsia"/>
          <w:lang w:val="en-US" w:eastAsia="zh-CN"/>
        </w:rPr>
      </w:pPr>
    </w:p>
    <w:p>
      <w:pPr>
        <w:widowControl w:val="0"/>
        <w:spacing w:line="600" w:lineRule="exact"/>
        <w:ind w:firstLine="640" w:firstLineChars="200"/>
        <w:jc w:val="both"/>
        <w:rPr>
          <w:rFonts w:hint="eastAsia" w:ascii="仿宋" w:hAnsi="仿宋" w:eastAsia="仿宋"/>
          <w:sz w:val="32"/>
          <w:szCs w:val="32"/>
        </w:rPr>
      </w:pPr>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5016"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4"/>
      <w:wordWrap w:val="0"/>
      <w:ind w:left="895" w:leftChars="407" w:firstLine="10518" w:firstLineChars="3287"/>
      <w:jc w:val="right"/>
      <w:rPr>
        <w:rFonts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rPr>
      <w:t xml:space="preserve">洛洛阳市老城区人民政府办公室发布    </w:t>
    </w:r>
  </w:p>
  <w:p>
    <w:pPr>
      <w:pStyle w:val="4"/>
      <w:wordWrap w:val="0"/>
      <w:ind w:left="5016"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4"/>
      <w:widowControl w:val="0"/>
      <w:textAlignment w:val="center"/>
      <w:rPr>
        <w:rFonts w:ascii="宋体" w:hAnsi="宋体" w:cs="宋体"/>
        <w:b/>
        <w:bCs/>
        <w:color w:val="005192"/>
        <w:sz w:val="32"/>
        <w:szCs w:val="32"/>
      </w:rPr>
    </w:pPr>
    <w:r>
      <w:rPr>
        <w:rFonts w:hint="eastAsia" w:ascii="宋体" w:hAnsi="宋体" w:cs="宋体"/>
        <w:b/>
        <w:bCs/>
        <w:color w:val="005192"/>
        <w:sz w:val="32"/>
      </w:rPr>
      <w:t>洛阳市</w:t>
    </w:r>
    <w:r>
      <w:rPr>
        <w:rFonts w:hint="eastAsia" w:ascii="宋体" w:hAnsi="宋体" w:cs="宋体"/>
        <w:b/>
        <w:bCs/>
        <w:color w:val="005192"/>
        <w:sz w:val="32"/>
        <w:szCs w:val="32"/>
      </w:rPr>
      <w:t>老城区人民政府办公室行政规范性文件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iNjM5OWQ3N2U4ZjBhNmIyMzUyZmExNzYxZmFmYmUifQ=="/>
  </w:docVars>
  <w:rsids>
    <w:rsidRoot w:val="3B6D066C"/>
    <w:rsid w:val="3B6D0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2024-04-25T03:33:00Z</dcterms:created>
  <dc:creator>染尘</dc:creator>
  <cp:lastModifiedBy>染尘</cp:lastModifiedBy>
  <dcterms:modified xsi:type="dcterms:W3CDTF">2024-04-25T03:33:55Z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4B4C0C7BCA7D41B78E9CA10D8F576AAE_11</vt:lpwstr>
  </property>
</Properties>
</file>