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西工区人民政府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继续有效的规范性文件目录（7件）</w:t>
      </w:r>
    </w:p>
    <w:bookmarkEnd w:id="0"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3181"/>
        <w:gridCol w:w="2317"/>
        <w:gridCol w:w="1325"/>
        <w:gridCol w:w="8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3444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规范性文件名称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  <w:t>发文文号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30"/>
                <w:szCs w:val="30"/>
                <w:u w:val="none"/>
                <w:lang w:val="en-US" w:eastAsia="zh-CN" w:bidi="ar-SA"/>
              </w:rPr>
              <w:t>起草</w:t>
            </w:r>
          </w:p>
        </w:tc>
        <w:tc>
          <w:tcPr>
            <w:tcW w:w="881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关于城市区全面禁止销售燃放烟花爆竹的通知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西政办〔2017〕42号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关于在市场监管领域全面推行部门联合“双随机、一公开”监管的实施意见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西政办〔2019〕19号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区市场监管局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关于推进健康西工行动的实施意见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西政〔2020〕12号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区卫健委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关于印发西工区畜禽养殖禁养区调整方案的通知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西政〔2020〕3号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关于推进西工区安全生产隐患排查治理社会化运作的实施意见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西政〔2021〕12号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区应急管理局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关于印发西工区促进3岁以下婴幼儿照护服务发展实施方案的通知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西政办〔2021〕26号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区卫健委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44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关于印发西工区城乡居民基本养老保险实施方案的通知</w:t>
            </w:r>
          </w:p>
        </w:tc>
        <w:tc>
          <w:tcPr>
            <w:tcW w:w="24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西政办〔2021〕27号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区人社局</w:t>
            </w:r>
          </w:p>
        </w:tc>
        <w:tc>
          <w:tcPr>
            <w:tcW w:w="88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400" w:lineRule="exact"/>
        <w:ind w:firstLine="3840" w:firstLineChars="1600"/>
        <w:jc w:val="left"/>
        <w:textAlignment w:val="auto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ind w:firstLine="5120" w:firstLineChars="16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/>
        <w:spacing w:line="580" w:lineRule="exact"/>
        <w:ind w:firstLine="5120" w:firstLineChars="16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EU-BZ">
    <w:altName w:val="华文仿宋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NjM5OWQ3N2U4ZjBhNmIyMzUyZmExNzYxZmFmYmUifQ=="/>
  </w:docVars>
  <w:rsids>
    <w:rsidRoot w:val="45B229A8"/>
    <w:rsid w:val="45B2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仿宋_GB2312" w:hAnsi="Calibri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2024-04-25T03:21:00Z</dcterms:created>
  <dc:creator>染尘</dc:creator>
  <cp:lastModifiedBy>染尘</cp:lastModifiedBy>
  <dcterms:modified xsi:type="dcterms:W3CDTF">2024-04-25T03:22:12Z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A7498B6000224F2CAE2CC30A2E71EA15_11</vt:lpwstr>
  </property>
</Properties>
</file>