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600" w:lineRule="exact"/>
        <w:rPr>
          <w:rFonts w:hint="eastAsia" w:ascii="方正书宋简体" w:hAnsi="方正书宋简体" w:eastAsia="仿宋_GB2312"/>
          <w:color w:val="000000"/>
          <w:sz w:val="31"/>
          <w:szCs w:val="31"/>
        </w:rPr>
      </w:pPr>
    </w:p>
    <w:p>
      <w:pPr>
        <w:widowControl w:val="0"/>
        <w:adjustRightInd w:val="0"/>
        <w:snapToGrid w:val="0"/>
        <w:spacing w:line="600" w:lineRule="exact"/>
        <w:rPr>
          <w:rFonts w:hint="eastAsia" w:ascii="方正书宋简体" w:hAnsi="方正书宋简体" w:eastAsia="仿宋_GB2312"/>
          <w:color w:val="000000"/>
          <w:sz w:val="31"/>
          <w:szCs w:val="31"/>
        </w:rPr>
      </w:pPr>
    </w:p>
    <w:p>
      <w:pPr>
        <w:pStyle w:val="10"/>
        <w:spacing w:line="6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洛阳市服务型行政执法实施办法</w:t>
      </w:r>
    </w:p>
    <w:p>
      <w:pPr>
        <w:pStyle w:val="11"/>
        <w:widowControl w:val="0"/>
        <w:adjustRightInd w:val="0"/>
        <w:snapToGrid w:val="0"/>
        <w:spacing w:before="0" w:line="600" w:lineRule="exact"/>
        <w:ind w:firstLine="0" w:firstLineChars="0"/>
      </w:pPr>
      <w:r>
        <w:rPr>
          <w:rFonts w:hint="eastAsia"/>
        </w:rPr>
        <w:t>（</w:t>
      </w:r>
      <w:r>
        <w:rPr>
          <w:rFonts w:hint="eastAsia" w:ascii="仿宋" w:hAnsi="仿宋" w:eastAsia="仿宋" w:cs="仿宋"/>
        </w:rPr>
        <w:t>2020年</w:t>
      </w:r>
      <w:r>
        <w:rPr>
          <w:rFonts w:hint="eastAsia" w:ascii="仿宋" w:hAnsi="仿宋" w:eastAsia="仿宋" w:cs="仿宋"/>
          <w:lang w:val="en-US" w:eastAsia="zh-CN"/>
        </w:rPr>
        <w:t>9</w:t>
      </w:r>
      <w:r>
        <w:rPr>
          <w:rFonts w:hint="eastAsia" w:ascii="仿宋" w:hAnsi="仿宋" w:eastAsia="仿宋" w:cs="仿宋"/>
        </w:rPr>
        <w:t>月2</w:t>
      </w:r>
      <w:r>
        <w:rPr>
          <w:rFonts w:hint="eastAsia" w:ascii="仿宋" w:hAnsi="仿宋" w:eastAsia="仿宋" w:cs="仿宋"/>
          <w:lang w:val="en-US" w:eastAsia="zh-CN"/>
        </w:rPr>
        <w:t>7</w:t>
      </w:r>
      <w:r>
        <w:rPr>
          <w:rFonts w:hint="eastAsia" w:ascii="仿宋" w:hAnsi="仿宋" w:eastAsia="仿宋" w:cs="仿宋"/>
        </w:rPr>
        <w:t>日</w:t>
      </w:r>
      <w:r>
        <w:rPr>
          <w:rFonts w:hint="eastAsia" w:ascii="仿宋" w:hAnsi="仿宋" w:eastAsia="仿宋" w:cs="仿宋"/>
          <w:lang w:eastAsia="zh-CN"/>
        </w:rPr>
        <w:t>洛阳市</w:t>
      </w:r>
      <w:r>
        <w:rPr>
          <w:rFonts w:hint="eastAsia" w:ascii="仿宋" w:hAnsi="仿宋" w:eastAsia="仿宋" w:cs="仿宋"/>
        </w:rPr>
        <w:t>人民政府令第</w:t>
      </w:r>
      <w:r>
        <w:rPr>
          <w:rFonts w:hint="eastAsia" w:ascii="仿宋" w:hAnsi="仿宋" w:eastAsia="仿宋" w:cs="仿宋"/>
          <w:lang w:val="en-US" w:eastAsia="zh-CN"/>
        </w:rPr>
        <w:t>133</w:t>
      </w:r>
      <w:r>
        <w:rPr>
          <w:rFonts w:hint="eastAsia" w:ascii="仿宋" w:hAnsi="仿宋" w:eastAsia="仿宋" w:cs="仿宋"/>
        </w:rPr>
        <w:t>号公布</w:t>
      </w:r>
      <w:r>
        <w:rPr>
          <w:rFonts w:hint="eastAsia" w:ascii="仿宋" w:hAnsi="仿宋" w:eastAsia="仿宋" w:cs="仿宋"/>
          <w:lang w:val="en-US" w:eastAsia="zh-CN"/>
        </w:rPr>
        <w:t xml:space="preserve">  自2020年11月1日起施行</w:t>
      </w:r>
      <w:r>
        <w:rPr>
          <w:rFonts w:hint="eastAsia"/>
        </w:rPr>
        <w:t>）</w:t>
      </w:r>
      <w:bookmarkStart w:id="0" w:name="_GoBack"/>
      <w:bookmarkEnd w:id="0"/>
    </w:p>
    <w:p>
      <w:pPr>
        <w:pStyle w:val="9"/>
        <w:widowControl w:val="0"/>
        <w:adjustRightInd w:val="0"/>
        <w:snapToGrid w:val="0"/>
        <w:spacing w:line="600" w:lineRule="exact"/>
        <w:ind w:firstLine="620"/>
        <w:jc w:val="both"/>
      </w:pPr>
      <w:r>
        <w:t xml:space="preserve">  </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ascii="黑体" w:hAnsi="宋体" w:eastAsia="黑体" w:cs="黑体"/>
          <w:kern w:val="2"/>
          <w:sz w:val="32"/>
          <w:szCs w:val="32"/>
          <w:lang w:val="en-US" w:eastAsia="zh-CN" w:bidi="ar"/>
        </w:rPr>
        <w:t>第一条</w:t>
      </w:r>
      <w:r>
        <w:rPr>
          <w:rFonts w:ascii="仿宋" w:hAnsi="仿宋" w:eastAsia="仿宋" w:cs="仿宋"/>
          <w:kern w:val="2"/>
          <w:sz w:val="32"/>
          <w:szCs w:val="32"/>
          <w:lang w:val="en-US" w:eastAsia="zh-CN" w:bidi="ar"/>
        </w:rPr>
        <w:t xml:space="preserve">  </w:t>
      </w:r>
      <w:r>
        <w:rPr>
          <w:rFonts w:hint="eastAsia" w:ascii="仿宋" w:hAnsi="仿宋" w:eastAsia="仿宋" w:cs="仿宋"/>
          <w:kern w:val="2"/>
          <w:sz w:val="32"/>
          <w:szCs w:val="32"/>
          <w:lang w:val="en-US" w:eastAsia="zh-CN" w:bidi="ar"/>
        </w:rPr>
        <w:t>为深入推进法治政府和服务型政府建设，创新行政执法方式，提高行政执法质量，优化营商环境，保障公民、法人和其他组织的合法权益，根据《河南省行政执法条例》等法规规定，结合我市实际，制定本办法。</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kern w:val="2"/>
          <w:sz w:val="32"/>
          <w:szCs w:val="32"/>
          <w:lang w:val="en-US" w:eastAsia="zh-CN" w:bidi="ar"/>
        </w:rPr>
        <w:t>第二条</w:t>
      </w:r>
      <w:r>
        <w:rPr>
          <w:rFonts w:hint="eastAsia" w:ascii="仿宋" w:hAnsi="仿宋" w:eastAsia="仿宋" w:cs="仿宋"/>
          <w:kern w:val="2"/>
          <w:sz w:val="32"/>
          <w:szCs w:val="32"/>
          <w:lang w:val="en-US" w:eastAsia="zh-CN" w:bidi="ar"/>
        </w:rPr>
        <w:t xml:space="preserve">  本市行政区域内的行政执法活动适用本办法。法律、法规另有规定的，从其规定。</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kern w:val="2"/>
          <w:sz w:val="32"/>
          <w:szCs w:val="32"/>
          <w:lang w:val="en-US" w:eastAsia="zh-CN" w:bidi="ar"/>
        </w:rPr>
        <w:t>第三条</w:t>
      </w:r>
      <w:r>
        <w:rPr>
          <w:rFonts w:hint="eastAsia" w:ascii="仿宋" w:hAnsi="仿宋" w:eastAsia="仿宋" w:cs="仿宋"/>
          <w:kern w:val="2"/>
          <w:sz w:val="32"/>
          <w:szCs w:val="32"/>
          <w:lang w:val="en-US" w:eastAsia="zh-CN" w:bidi="ar"/>
        </w:rPr>
        <w:t xml:space="preserve">  本办法所称行政执法机关，是指本市行政区域内，具有行政执法职权的行政机关、法律法规授权的组织。</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本办法所称服务型行政执法，是指行政执法机关在坚持严格规范公正文明执法的基础上，突出事前违法风险防控和非强制性执法手段优先，将管理、执法和服务有机结合，推进实现法律效果和社会效果有机统一的执法模式。</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kern w:val="2"/>
          <w:sz w:val="32"/>
          <w:szCs w:val="32"/>
          <w:lang w:val="en-US" w:eastAsia="zh-CN" w:bidi="ar"/>
        </w:rPr>
        <w:t>第四条</w:t>
      </w:r>
      <w:r>
        <w:rPr>
          <w:rFonts w:hint="eastAsia" w:ascii="仿宋" w:hAnsi="仿宋" w:eastAsia="仿宋" w:cs="仿宋"/>
          <w:kern w:val="2"/>
          <w:sz w:val="32"/>
          <w:szCs w:val="32"/>
          <w:lang w:val="en-US" w:eastAsia="zh-CN" w:bidi="ar"/>
        </w:rPr>
        <w:t xml:space="preserve">  市人民政府统一领导全市服务型行政执法工作，将服务型行政执法开展情况纳入法治政府建设考核体系，定期对服务型行政执法建设工作开展情况进行督促检查和考核评价。</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各县（市、区）人民政府、市人民政府各行政执法部门负责组织开展本辖区、本系统的服务型行政执法工作。</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行政执法机关的主要负责人是推进本单位服务型行政执法建设的第一责任人。</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jc w:val="left"/>
        <w:textAlignment w:val="auto"/>
      </w:pPr>
      <w:r>
        <w:rPr>
          <w:rFonts w:hint="eastAsia" w:ascii="仿宋" w:hAnsi="仿宋" w:eastAsia="仿宋" w:cs="仿宋"/>
          <w:kern w:val="2"/>
          <w:sz w:val="32"/>
          <w:szCs w:val="32"/>
          <w:lang w:val="en-US" w:eastAsia="zh-CN" w:bidi="ar"/>
        </w:rPr>
        <w:t xml:space="preserve">  </w:t>
      </w:r>
      <w:r>
        <w:rPr>
          <w:rFonts w:hint="eastAsia" w:ascii="仿宋" w:hAnsi="仿宋" w:eastAsia="仿宋" w:cs="仿宋"/>
          <w:color w:val="0000FF"/>
          <w:kern w:val="2"/>
          <w:sz w:val="32"/>
          <w:szCs w:val="32"/>
          <w:lang w:val="en-US" w:eastAsia="zh-CN" w:bidi="ar"/>
        </w:rPr>
        <w:t xml:space="preserve"> </w:t>
      </w:r>
      <w:r>
        <w:rPr>
          <w:rFonts w:hint="eastAsia" w:ascii="仿宋" w:hAnsi="仿宋" w:eastAsia="仿宋" w:cs="仿宋"/>
          <w:kern w:val="2"/>
          <w:sz w:val="32"/>
          <w:szCs w:val="32"/>
          <w:lang w:val="en-US" w:eastAsia="zh-CN" w:bidi="ar"/>
        </w:rPr>
        <w:t xml:space="preserve"> </w:t>
      </w:r>
      <w:r>
        <w:rPr>
          <w:rFonts w:hint="eastAsia" w:ascii="黑体" w:hAnsi="宋体" w:eastAsia="黑体" w:cs="黑体"/>
          <w:kern w:val="2"/>
          <w:sz w:val="32"/>
          <w:szCs w:val="32"/>
          <w:lang w:val="en-US" w:eastAsia="zh-CN" w:bidi="ar"/>
        </w:rPr>
        <w:t>第五条</w:t>
      </w:r>
      <w:r>
        <w:rPr>
          <w:rFonts w:hint="eastAsia" w:ascii="仿宋" w:hAnsi="仿宋" w:eastAsia="仿宋" w:cs="仿宋"/>
          <w:kern w:val="2"/>
          <w:sz w:val="32"/>
          <w:szCs w:val="32"/>
          <w:lang w:val="en-US" w:eastAsia="zh-CN" w:bidi="ar"/>
        </w:rPr>
        <w:t xml:space="preserve">  行政执法机关应当在行政执法过程中贯彻执法为民理念，坚持以人民为中心，遵循合法、合理、适当、必要原则，积极开展服务型行政执法，以最小损害实现行政管理目的。</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kern w:val="2"/>
          <w:sz w:val="32"/>
          <w:szCs w:val="32"/>
          <w:lang w:val="en-US" w:eastAsia="zh-CN" w:bidi="ar"/>
        </w:rPr>
        <w:t>第六条</w:t>
      </w:r>
      <w:r>
        <w:rPr>
          <w:rFonts w:hint="eastAsia" w:ascii="仿宋" w:hAnsi="仿宋" w:eastAsia="仿宋" w:cs="仿宋"/>
          <w:kern w:val="2"/>
          <w:sz w:val="32"/>
          <w:szCs w:val="32"/>
          <w:lang w:val="en-US" w:eastAsia="zh-CN" w:bidi="ar"/>
        </w:rPr>
        <w:t xml:space="preserve">  行政执法机关的行政执法行为应当规范、文明、理性、审慎、公平、公正，不得采用粗暴执法等法律法规禁止的方式，不得在法律法规禁止的时间段执法，不得选择性执法，不得以服务为由不履行行政执法职责。</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kern w:val="2"/>
          <w:sz w:val="32"/>
          <w:szCs w:val="32"/>
          <w:lang w:val="en-US" w:eastAsia="zh-CN" w:bidi="ar"/>
        </w:rPr>
        <w:t>第七条</w:t>
      </w:r>
      <w:r>
        <w:rPr>
          <w:rFonts w:hint="eastAsia" w:ascii="仿宋" w:hAnsi="仿宋" w:eastAsia="仿宋" w:cs="仿宋"/>
          <w:kern w:val="2"/>
          <w:sz w:val="32"/>
          <w:szCs w:val="32"/>
          <w:lang w:val="en-US" w:eastAsia="zh-CN" w:bidi="ar"/>
        </w:rPr>
        <w:t xml:space="preserve">  行政执法机关及其执法人员应当转变行政执法理念，创新行政执法方式，普及行政指导，强化行政调解，推行行政相对人法律风险防控。 </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行政执法机关应当加强行政执法人员服务型行政执法培训，提升行政执法人员服务型行政执法的意识和能力。</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kern w:val="2"/>
          <w:sz w:val="32"/>
          <w:szCs w:val="32"/>
          <w:lang w:val="en-US" w:eastAsia="zh-CN" w:bidi="ar"/>
        </w:rPr>
        <w:t xml:space="preserve">第八条  </w:t>
      </w:r>
      <w:r>
        <w:rPr>
          <w:rFonts w:hint="eastAsia" w:ascii="仿宋" w:hAnsi="仿宋" w:eastAsia="仿宋" w:cs="仿宋"/>
          <w:kern w:val="2"/>
          <w:sz w:val="32"/>
          <w:szCs w:val="32"/>
          <w:lang w:val="en-US" w:eastAsia="zh-CN" w:bidi="ar"/>
        </w:rPr>
        <w:t>行政执法机关应当在法定职责范围内，根据需要采取以下方式对行政相对人进行行政指导，实现行政管理目的：</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（一）引导。指行政执法机关制定发布倡导性、鼓励性政策、规划、计划、信息，引导公民、法人或者其他组织增强风险防范意识，维护自身合法权益。</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（二）示范。指行政执法机关通过树立行为典范、推荐先进典型等方式，带动公民、法人或者其他组织自愿按照符合法律法规要求、符合公共利益、符合行政管理目的，同时也符合其总体利益的方向作出行为。</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（三）提示。指行政执法机关将公民、法人或者其他组织理应知晓但容易疏忽、出错的问题和事项善意地告知、提醒，促使其加以注意和警惕，妥善解决问题，避免不必要的错误和损失。</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（四）辅导。指行政执法机关就行政管理业务、行政管理信息、法律政策等方面给公民、法人或者其他组织以具体的指点指引、说理释惑、解释帮助。</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（五）建议。指行政执法机关基于行政管理、行政执法需要，向公民、法人或者其他组织提出建议、表明意见，供其选择参考。</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（六）规劝。指行政执法机关在公民、法人或者其他组织可能发生违法行为，违法行为可能造成危害后果，或者违法行为可能升级等情形时，采取开导、劝说、说服等方式，促使其纠正违法、改正错误。</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（七）约谈。指行政执法机关对公民、法人或者其他组织集体或者个别约见，了解有关情况，指出发现的问题或者违法事实，宣讲法律、法规、规章和相关规定，提出整改要求并促使其积极配合、自觉履行义务。</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八）回访。指行政执法机关对重大复杂、社会影响较大或者其他有必要进行回访的行政案件，回访公民、法人或者其他组织，督促指导其纠错整改，巩固执法效果，征询、了解执法人员在行政执法过程中是否存在违纪违法行为。</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鼓励行政执法机关探索其他有效的行政指导方式。</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kern w:val="2"/>
          <w:sz w:val="32"/>
          <w:szCs w:val="32"/>
          <w:lang w:val="en-US" w:eastAsia="zh-CN" w:bidi="ar"/>
        </w:rPr>
        <w:t>第九条</w:t>
      </w:r>
      <w:r>
        <w:rPr>
          <w:rFonts w:hint="eastAsia" w:ascii="仿宋" w:hAnsi="仿宋" w:eastAsia="仿宋" w:cs="仿宋"/>
          <w:kern w:val="2"/>
          <w:sz w:val="32"/>
          <w:szCs w:val="32"/>
          <w:lang w:val="en-US" w:eastAsia="zh-CN" w:bidi="ar"/>
        </w:rPr>
        <w:t xml:space="preserve">  行政执法机关应当坚持指导提前、服务提前、预警提前，建立健全行政相对人法律风险防控制度，全面梳理、评估其违法风险点，分析违法行为产生的原因，分级制定警示防范措施，强化行政相对人法律风险防控意识，引导其积极预防、主动规避、自查自纠。</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kern w:val="2"/>
          <w:sz w:val="32"/>
          <w:szCs w:val="32"/>
          <w:lang w:val="en-US" w:eastAsia="zh-CN" w:bidi="ar"/>
        </w:rPr>
        <w:t>第十条</w:t>
      </w:r>
      <w:r>
        <w:rPr>
          <w:rFonts w:hint="eastAsia" w:ascii="仿宋" w:hAnsi="仿宋" w:eastAsia="仿宋" w:cs="仿宋"/>
          <w:kern w:val="2"/>
          <w:sz w:val="32"/>
          <w:szCs w:val="32"/>
          <w:lang w:val="en-US" w:eastAsia="zh-CN" w:bidi="ar"/>
        </w:rPr>
        <w:t xml:space="preserve">  行政执法机关应当推行包容审慎监管，梳理、公布轻微违法免罚、一般违法从轻减轻处罚清单，并实行动态管理。</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行政执法机关应当依法慎重实施行政强制，采用非强制性手段能够达到行政管理目的的，不得实施行政强制；确需实施行政强制的，应当限定在必要范围内。</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kern w:val="2"/>
          <w:sz w:val="32"/>
          <w:szCs w:val="32"/>
          <w:lang w:val="en-US" w:eastAsia="zh-CN" w:bidi="ar"/>
        </w:rPr>
        <w:t>第十一条</w:t>
      </w:r>
      <w:r>
        <w:rPr>
          <w:rFonts w:hint="eastAsia" w:ascii="仿宋" w:hAnsi="仿宋" w:eastAsia="仿宋" w:cs="仿宋"/>
          <w:kern w:val="2"/>
          <w:sz w:val="32"/>
          <w:szCs w:val="32"/>
          <w:lang w:val="en-US" w:eastAsia="zh-CN" w:bidi="ar"/>
        </w:rPr>
        <w:t xml:space="preserve">  行政执法机关应当依法、灵活开展</w:t>
      </w:r>
      <w:r>
        <w:rPr>
          <w:rFonts w:hint="eastAsia" w:ascii="仿宋" w:hAnsi="仿宋" w:eastAsia="仿宋" w:cs="仿宋"/>
          <w:kern w:val="0"/>
          <w:sz w:val="32"/>
          <w:szCs w:val="32"/>
          <w:lang w:val="en-US" w:eastAsia="zh-CN" w:bidi="ar"/>
        </w:rPr>
        <w:t>行政调解，</w:t>
      </w:r>
      <w:r>
        <w:rPr>
          <w:rFonts w:hint="eastAsia" w:ascii="仿宋" w:hAnsi="仿宋" w:eastAsia="仿宋" w:cs="仿宋"/>
          <w:kern w:val="2"/>
          <w:sz w:val="32"/>
          <w:szCs w:val="32"/>
          <w:lang w:val="en-US" w:eastAsia="zh-CN" w:bidi="ar"/>
        </w:rPr>
        <w:t>在职权范围内通过协调和劝导等方式，促使各方当事人互谅互让、平等协商、自愿达成协议，解决争议纠纷。</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kern w:val="2"/>
          <w:sz w:val="32"/>
          <w:szCs w:val="32"/>
          <w:lang w:val="en-US" w:eastAsia="zh-CN" w:bidi="ar"/>
        </w:rPr>
        <w:t>第十二条</w:t>
      </w:r>
      <w:r>
        <w:rPr>
          <w:rFonts w:hint="eastAsia" w:ascii="仿宋" w:hAnsi="仿宋" w:eastAsia="仿宋" w:cs="仿宋"/>
          <w:kern w:val="2"/>
          <w:sz w:val="32"/>
          <w:szCs w:val="32"/>
          <w:lang w:val="en-US" w:eastAsia="zh-CN" w:bidi="ar"/>
        </w:rPr>
        <w:t xml:space="preserve">  </w:t>
      </w:r>
      <w:r>
        <w:rPr>
          <w:rFonts w:hint="eastAsia" w:ascii="仿宋" w:hAnsi="仿宋" w:eastAsia="仿宋" w:cs="仿宋"/>
          <w:kern w:val="0"/>
          <w:sz w:val="32"/>
          <w:szCs w:val="32"/>
          <w:lang w:val="en-US" w:eastAsia="zh-CN" w:bidi="ar"/>
        </w:rPr>
        <w:t>法律、法规、规章规定可以调解的行政争议</w:t>
      </w:r>
      <w:r>
        <w:rPr>
          <w:rFonts w:hint="eastAsia" w:ascii="仿宋" w:hAnsi="仿宋" w:eastAsia="仿宋" w:cs="仿宋"/>
          <w:kern w:val="2"/>
          <w:sz w:val="32"/>
          <w:szCs w:val="32"/>
          <w:lang w:val="en-US" w:eastAsia="zh-CN" w:bidi="ar"/>
        </w:rPr>
        <w:t>以及公民、法人或者其他组织之间产生的与行政管理有直接关系的民事纠纷可以适用行政调解。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行政执法机关调解民事纠纷，不得代替依法应当做出的行政处理决定。法律另有规定的除外。</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kern w:val="2"/>
          <w:sz w:val="32"/>
          <w:szCs w:val="32"/>
          <w:lang w:val="en-US" w:eastAsia="zh-CN" w:bidi="ar"/>
        </w:rPr>
        <w:t>第十三条</w:t>
      </w:r>
      <w:r>
        <w:rPr>
          <w:rFonts w:hint="eastAsia" w:ascii="仿宋" w:hAnsi="仿宋" w:eastAsia="仿宋" w:cs="仿宋"/>
          <w:color w:val="C00000"/>
          <w:kern w:val="2"/>
          <w:sz w:val="32"/>
          <w:szCs w:val="32"/>
          <w:lang w:val="en-US" w:eastAsia="zh-CN" w:bidi="ar"/>
        </w:rPr>
        <w:t xml:space="preserve">  </w:t>
      </w:r>
      <w:r>
        <w:rPr>
          <w:rFonts w:hint="eastAsia" w:ascii="仿宋" w:hAnsi="仿宋" w:eastAsia="仿宋" w:cs="仿宋"/>
          <w:kern w:val="2"/>
          <w:sz w:val="32"/>
          <w:szCs w:val="32"/>
          <w:lang w:val="en-US" w:eastAsia="zh-CN" w:bidi="ar"/>
        </w:rPr>
        <w:t>公民、法人或者其他组织之间产生的与行政管理有直接关系的民事纠纷，由具有相应行政管理权限的行政执法机关调解：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（一）学生伤害事故纠纷；</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（二）治安管理纠纷；</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（三）交通事故损害赔偿纠纷；</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（四）土地权属纠纷；</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（五）林地权属纠纷；</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（六）劳动争议；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（七）消费者权益投诉；</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（八）其他与行政管理有直接关系、可以采取行政调解方式解决的民事纠纷。</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kern w:val="2"/>
          <w:sz w:val="32"/>
          <w:szCs w:val="32"/>
          <w:lang w:val="en-US" w:eastAsia="zh-CN" w:bidi="ar"/>
        </w:rPr>
        <w:t>第十四条</w:t>
      </w:r>
      <w:r>
        <w:rPr>
          <w:rFonts w:hint="eastAsia" w:ascii="仿宋" w:hAnsi="仿宋" w:eastAsia="仿宋" w:cs="仿宋"/>
          <w:kern w:val="2"/>
          <w:sz w:val="32"/>
          <w:szCs w:val="32"/>
          <w:lang w:val="en-US" w:eastAsia="zh-CN" w:bidi="ar"/>
        </w:rPr>
        <w:t xml:space="preserve">  行政执法机关要充分发挥主体作用，建立行政调解工作机制，配备专、兼职行政调解人员，完善行政调解配套设施。</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kern w:val="2"/>
          <w:sz w:val="32"/>
          <w:szCs w:val="32"/>
          <w:lang w:val="en-US" w:eastAsia="zh-CN" w:bidi="ar"/>
        </w:rPr>
        <w:t>第十五条</w:t>
      </w:r>
      <w:r>
        <w:rPr>
          <w:rFonts w:hint="eastAsia" w:ascii="仿宋" w:hAnsi="仿宋" w:eastAsia="仿宋" w:cs="仿宋"/>
          <w:kern w:val="2"/>
          <w:sz w:val="32"/>
          <w:szCs w:val="32"/>
          <w:lang w:val="en-US" w:eastAsia="zh-CN" w:bidi="ar"/>
        </w:rPr>
        <w:t xml:space="preserve">  对行政执法机关依法行使自由裁量权作出的具体行政行为产生的行政争议，行政执法机关可以与公民、法人或者其他组织自愿达成和解，和解内容不得损害社会公共利益和他人合法权益。</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kern w:val="2"/>
          <w:sz w:val="32"/>
          <w:szCs w:val="32"/>
          <w:lang w:val="en-US" w:eastAsia="zh-CN" w:bidi="ar"/>
        </w:rPr>
        <w:t>第十六条</w:t>
      </w:r>
      <w:r>
        <w:rPr>
          <w:rFonts w:hint="eastAsia" w:ascii="仿宋" w:hAnsi="仿宋" w:eastAsia="仿宋" w:cs="仿宋"/>
          <w:kern w:val="2"/>
          <w:sz w:val="32"/>
          <w:szCs w:val="32"/>
          <w:lang w:val="en-US" w:eastAsia="zh-CN" w:bidi="ar"/>
        </w:rPr>
        <w:t xml:space="preserve">  行政执法机关应当充分运用大数据、云计算等现代信息技术手段，不断推进“互联网+”行政执法，提升服务型行政执法的精细化和信息化水平。</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kern w:val="2"/>
          <w:sz w:val="32"/>
          <w:szCs w:val="32"/>
          <w:lang w:val="en-US" w:eastAsia="zh-CN" w:bidi="ar"/>
        </w:rPr>
        <w:t xml:space="preserve">第十七条  </w:t>
      </w:r>
      <w:r>
        <w:rPr>
          <w:rFonts w:hint="eastAsia" w:ascii="仿宋" w:hAnsi="仿宋" w:eastAsia="仿宋" w:cs="仿宋"/>
          <w:kern w:val="2"/>
          <w:sz w:val="32"/>
          <w:szCs w:val="32"/>
          <w:lang w:val="en-US" w:eastAsia="zh-CN" w:bidi="ar"/>
        </w:rPr>
        <w:t>行政执法机关应当持续深化“放管服”改革，压减行政审批事项，优化行政审批流程，提高行政审批效率，不断增强政务服务能力，打造流程优、效率高、服务佳的政务服务环境。</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kern w:val="2"/>
          <w:sz w:val="32"/>
          <w:szCs w:val="32"/>
          <w:lang w:val="en-US" w:eastAsia="zh-CN" w:bidi="ar"/>
        </w:rPr>
        <w:t xml:space="preserve">第十八条 </w:t>
      </w:r>
      <w:r>
        <w:rPr>
          <w:rFonts w:hint="eastAsia" w:ascii="仿宋" w:hAnsi="仿宋" w:eastAsia="仿宋" w:cs="仿宋"/>
          <w:kern w:val="2"/>
          <w:sz w:val="32"/>
          <w:szCs w:val="32"/>
          <w:lang w:val="en-US" w:eastAsia="zh-CN" w:bidi="ar"/>
        </w:rPr>
        <w:t xml:space="preserve"> 行政执法机关应当积极总结推进服务型行政执法建设成功经验和创新做法，大力培育服务型行政执法建设先进典型。</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75"/>
        <w:jc w:val="left"/>
        <w:textAlignment w:val="auto"/>
      </w:pPr>
      <w:r>
        <w:rPr>
          <w:rFonts w:hint="eastAsia" w:ascii="黑体" w:hAnsi="宋体" w:eastAsia="黑体" w:cs="黑体"/>
          <w:kern w:val="2"/>
          <w:sz w:val="32"/>
          <w:szCs w:val="32"/>
          <w:lang w:val="en-US" w:eastAsia="zh-CN" w:bidi="ar"/>
        </w:rPr>
        <w:t>第十九条</w:t>
      </w:r>
      <w:r>
        <w:rPr>
          <w:rFonts w:hint="eastAsia" w:ascii="仿宋" w:hAnsi="仿宋" w:eastAsia="仿宋" w:cs="仿宋"/>
          <w:kern w:val="2"/>
          <w:sz w:val="32"/>
          <w:szCs w:val="32"/>
          <w:lang w:val="en-US" w:eastAsia="zh-CN" w:bidi="ar"/>
        </w:rPr>
        <w:t xml:space="preserve">  市人民政府定期开展服务型行政执法优秀案例评选活动，对典型的服务型行政执法案例予以推广，对开展服务型行政执法成效显著的单位和个人按照相关规定给予表彰或表扬。</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kern w:val="2"/>
          <w:sz w:val="32"/>
          <w:szCs w:val="32"/>
          <w:lang w:val="en-US" w:eastAsia="zh-CN" w:bidi="ar"/>
        </w:rPr>
        <w:t>第二十条</w:t>
      </w:r>
      <w:r>
        <w:rPr>
          <w:rFonts w:hint="eastAsia" w:ascii="仿宋" w:hAnsi="仿宋" w:eastAsia="仿宋" w:cs="仿宋"/>
          <w:kern w:val="2"/>
          <w:sz w:val="32"/>
          <w:szCs w:val="32"/>
          <w:lang w:val="en-US" w:eastAsia="zh-CN" w:bidi="ar"/>
        </w:rPr>
        <w:t xml:space="preserve">  市人民政府可以采取多种方式对服务型行政执法的开展情况和社会满意度进行调查、评价。</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kern w:val="2"/>
          <w:sz w:val="32"/>
          <w:szCs w:val="32"/>
          <w:lang w:val="en-US" w:eastAsia="zh-CN" w:bidi="ar"/>
        </w:rPr>
        <w:t>第二十一条</w:t>
      </w:r>
      <w:r>
        <w:rPr>
          <w:rFonts w:hint="eastAsia" w:ascii="仿宋" w:hAnsi="仿宋" w:eastAsia="仿宋" w:cs="仿宋"/>
          <w:kern w:val="2"/>
          <w:sz w:val="32"/>
          <w:szCs w:val="32"/>
          <w:lang w:val="en-US" w:eastAsia="zh-CN" w:bidi="ar"/>
        </w:rPr>
        <w:t xml:space="preserve">  各县（市、区）人民政府、市人民政府各行政执法部门每年应当向市人民政府提交服务型行政执法工作专项报告，或者在法治政府建设年度工作报告中对服务型行政执法工作开展情况进行报告。</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kern w:val="2"/>
          <w:sz w:val="32"/>
          <w:szCs w:val="32"/>
          <w:lang w:val="en-US" w:eastAsia="zh-CN" w:bidi="ar"/>
        </w:rPr>
        <w:t xml:space="preserve">第二十二条  </w:t>
      </w:r>
      <w:r>
        <w:rPr>
          <w:rFonts w:hint="eastAsia" w:ascii="仿宋" w:hAnsi="仿宋" w:eastAsia="仿宋" w:cs="仿宋"/>
          <w:kern w:val="2"/>
          <w:sz w:val="32"/>
          <w:szCs w:val="32"/>
          <w:lang w:val="en-US" w:eastAsia="zh-CN" w:bidi="ar"/>
        </w:rPr>
        <w:t>本办法自2020年11月1日起施行。</w:t>
      </w:r>
    </w:p>
    <w:p>
      <w:pPr>
        <w:pStyle w:val="9"/>
        <w:keepNext w:val="0"/>
        <w:keepLines w:val="0"/>
        <w:pageBreakBefore w:val="0"/>
        <w:widowControl w:val="0"/>
        <w:kinsoku/>
        <w:wordWrap/>
        <w:overflowPunct/>
        <w:topLinePunct w:val="0"/>
        <w:bidi w:val="0"/>
        <w:adjustRightInd w:val="0"/>
        <w:snapToGrid w:val="0"/>
        <w:spacing w:beforeAutospacing="0" w:afterAutospacing="0" w:line="600" w:lineRule="exact"/>
        <w:ind w:firstLine="620"/>
        <w:jc w:val="both"/>
        <w:textAlignment w:val="auto"/>
      </w:pPr>
    </w:p>
    <w:p>
      <w:pPr>
        <w:keepNext w:val="0"/>
        <w:keepLines w:val="0"/>
        <w:pageBreakBefore w:val="0"/>
        <w:widowControl w:val="0"/>
        <w:kinsoku/>
        <w:wordWrap/>
        <w:overflowPunct/>
        <w:topLinePunct w:val="0"/>
        <w:bidi w:val="0"/>
        <w:adjustRightInd w:val="0"/>
        <w:snapToGrid w:val="0"/>
        <w:spacing w:beforeAutospacing="0" w:afterAutospacing="0" w:line="600" w:lineRule="exact"/>
        <w:textAlignment w:val="auto"/>
      </w:pPr>
    </w:p>
    <w:p>
      <w:pPr>
        <w:keepNext w:val="0"/>
        <w:keepLines w:val="0"/>
        <w:pageBreakBefore w:val="0"/>
        <w:widowControl w:val="0"/>
        <w:kinsoku/>
        <w:wordWrap/>
        <w:overflowPunct/>
        <w:topLinePunct w:val="0"/>
        <w:bidi w:val="0"/>
        <w:adjustRightInd w:val="0"/>
        <w:snapToGrid w:val="0"/>
        <w:spacing w:beforeAutospacing="0" w:afterAutospacing="0"/>
        <w:textAlignment w:val="auto"/>
      </w:pPr>
    </w:p>
    <w:p>
      <w:pPr>
        <w:keepNext w:val="0"/>
        <w:keepLines w:val="0"/>
        <w:pageBreakBefore w:val="0"/>
        <w:widowControl w:val="0"/>
        <w:kinsoku/>
        <w:wordWrap/>
        <w:overflowPunct/>
        <w:topLinePunct w:val="0"/>
        <w:bidi w:val="0"/>
        <w:adjustRightInd w:val="0"/>
        <w:snapToGrid w:val="0"/>
        <w:spacing w:beforeAutospacing="0" w:afterAutospacing="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华文仿宋"/>
    <w:panose1 w:val="02010600010101010101"/>
    <w:charset w:val="86"/>
    <w:family w:val="auto"/>
    <w:pitch w:val="default"/>
    <w:sig w:usb0="00000000" w:usb1="00000000" w:usb2="00000016" w:usb3="00000000" w:csb0="00040001" w:csb1="00000000"/>
  </w:font>
  <w:font w:name="方正书宋简体">
    <w:altName w:val="方正书宋_GBK"/>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文星标宋">
    <w:altName w:val="方正书宋_GBK"/>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洛阳市</w:t>
    </w:r>
    <w:r>
      <w:rPr>
        <w:rFonts w:hint="eastAsia" w:ascii="宋体" w:hAnsi="宋体" w:eastAsia="宋体" w:cs="宋体"/>
        <w:b/>
        <w:bCs/>
        <w:color w:val="005192"/>
        <w:sz w:val="28"/>
        <w:szCs w:val="44"/>
        <w:lang w:val="en-US" w:eastAsia="zh-CN"/>
      </w:rPr>
      <w:t xml:space="preserve">人民政府发布     </w:t>
    </w:r>
  </w:p>
  <w:p>
    <w:pPr>
      <w:pStyle w:val="4"/>
      <w:wordWrap w:val="0"/>
      <w:ind w:left="5016"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洛阳市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5440955"/>
    <w:rsid w:val="066E5641"/>
    <w:rsid w:val="06A67E67"/>
    <w:rsid w:val="080F63D8"/>
    <w:rsid w:val="09341458"/>
    <w:rsid w:val="09553C02"/>
    <w:rsid w:val="0CE65B2C"/>
    <w:rsid w:val="0D5C5CF8"/>
    <w:rsid w:val="101F0538"/>
    <w:rsid w:val="10254BD6"/>
    <w:rsid w:val="129E7932"/>
    <w:rsid w:val="13A23C39"/>
    <w:rsid w:val="152D2DCA"/>
    <w:rsid w:val="1C86388D"/>
    <w:rsid w:val="1E466CFF"/>
    <w:rsid w:val="22440422"/>
    <w:rsid w:val="23F13B42"/>
    <w:rsid w:val="287C616C"/>
    <w:rsid w:val="2FCE575A"/>
    <w:rsid w:val="2FFC7EDE"/>
    <w:rsid w:val="31A15F24"/>
    <w:rsid w:val="39A232A0"/>
    <w:rsid w:val="3A1C636B"/>
    <w:rsid w:val="3B5A6BBB"/>
    <w:rsid w:val="3BE16DE7"/>
    <w:rsid w:val="3E0E7999"/>
    <w:rsid w:val="3EDA13A6"/>
    <w:rsid w:val="3F5730EA"/>
    <w:rsid w:val="42F058B7"/>
    <w:rsid w:val="436109F6"/>
    <w:rsid w:val="441A38D4"/>
    <w:rsid w:val="474E2EF2"/>
    <w:rsid w:val="49B91357"/>
    <w:rsid w:val="4AEC52E8"/>
    <w:rsid w:val="4BC77339"/>
    <w:rsid w:val="4C9236C5"/>
    <w:rsid w:val="4E2A37E2"/>
    <w:rsid w:val="50414CBD"/>
    <w:rsid w:val="51E247E8"/>
    <w:rsid w:val="526F08CC"/>
    <w:rsid w:val="52F46F0B"/>
    <w:rsid w:val="55274B4C"/>
    <w:rsid w:val="55E064E0"/>
    <w:rsid w:val="5A4F3EF9"/>
    <w:rsid w:val="5D0D7ECB"/>
    <w:rsid w:val="608816D1"/>
    <w:rsid w:val="69D03F98"/>
    <w:rsid w:val="6BF75DB0"/>
    <w:rsid w:val="6D0E3F22"/>
    <w:rsid w:val="70AF1C83"/>
    <w:rsid w:val="714A2531"/>
    <w:rsid w:val="71C61E01"/>
    <w:rsid w:val="71E9213F"/>
    <w:rsid w:val="75AA717D"/>
    <w:rsid w:val="7C9011D9"/>
    <w:rsid w:val="7CFB3184"/>
    <w:rsid w:val="7DC651C5"/>
    <w:rsid w:val="7DFBC2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0">
    <w:name w:val="一级标题（二号小标宋）"/>
    <w:basedOn w:val="1"/>
    <w:link w:val="13"/>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3">
    <w:name w:val="一级标题（二号小标宋） Char"/>
    <w:basedOn w:val="7"/>
    <w:link w:val="10"/>
    <w:qFormat/>
    <w:uiPriority w:val="0"/>
    <w:rPr>
      <w:rFonts w:ascii="方正书宋简体" w:hAnsi="方正书宋简体" w:eastAsia="方正小标宋_GBK"/>
      <w:color w:val="00000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greatwall</cp:lastModifiedBy>
  <cp:lastPrinted>2021-09-22T09:19:00Z</cp:lastPrinted>
  <dcterms:modified xsi:type="dcterms:W3CDTF">2021-11-05T16:39:40Z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B2730C3DE4B44101801484FFB4A50383</vt:lpwstr>
  </property>
</Properties>
</file>