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87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35"/>
        <w:gridCol w:w="1935"/>
        <w:gridCol w:w="4154"/>
        <w:gridCol w:w="5053"/>
        <w:gridCol w:w="3794"/>
        <w:gridCol w:w="2414"/>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18795"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default" w:ascii="方正小标宋_GBK" w:hAnsi="方正小标宋_GBK" w:eastAsia="方正小标宋_GBK" w:cs="方正小标宋_GBK"/>
                <w:i w:val="0"/>
                <w:iCs w:val="0"/>
                <w:color w:val="000000"/>
                <w:kern w:val="0"/>
                <w:sz w:val="44"/>
                <w:szCs w:val="44"/>
                <w:u w:val="none"/>
                <w:bdr w:val="none" w:color="auto" w:sz="0" w:space="0"/>
                <w:lang w:val="en-US" w:eastAsia="zh-CN" w:bidi="ar"/>
              </w:rPr>
              <w:t>“四张清单”表格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gridSpan w:val="7"/>
            <w:tcBorders>
              <w:top w:val="nil"/>
              <w:left w:val="nil"/>
              <w:bottom w:val="nil"/>
              <w:right w:val="nil"/>
            </w:tcBorders>
            <w:shd w:val="clear"/>
            <w:noWrap/>
            <w:vAlign w:val="bottom"/>
          </w:tcPr>
          <w:p>
            <w:pPr>
              <w:keepNext w:val="0"/>
              <w:keepLines w:val="0"/>
              <w:widowControl/>
              <w:suppressLineNumbers w:val="0"/>
              <w:jc w:val="center"/>
              <w:textAlignment w:val="bottom"/>
              <w:rPr>
                <w:rFonts w:ascii="方正小标宋简体" w:hAnsi="方正小标宋简体" w:eastAsia="方正小标宋简体" w:cs="方正小标宋简体"/>
                <w:i w:val="0"/>
                <w:iCs w:val="0"/>
                <w:color w:val="000000"/>
                <w:sz w:val="32"/>
                <w:szCs w:val="32"/>
                <w:u w:val="none"/>
              </w:rPr>
            </w:pPr>
            <w:bookmarkStart w:id="0" w:name="_GoBack"/>
            <w:r>
              <w:rPr>
                <w:rFonts w:hint="eastAsia" w:ascii="方正小标宋简体" w:hAnsi="方正小标宋简体" w:eastAsia="方正小标宋简体" w:cs="方正小标宋简体"/>
                <w:i w:val="0"/>
                <w:iCs w:val="0"/>
                <w:color w:val="000000"/>
                <w:kern w:val="0"/>
                <w:sz w:val="32"/>
                <w:szCs w:val="32"/>
                <w:u w:val="none"/>
                <w:bdr w:val="none" w:color="auto" w:sz="0" w:space="0"/>
                <w:lang w:val="en-US" w:eastAsia="zh-CN" w:bidi="ar"/>
              </w:rPr>
              <w:t>不予实施行政强制事项清单（四）</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2670" w:type="dxa"/>
            <w:gridSpan w:val="2"/>
            <w:tcBorders>
              <w:top w:val="nil"/>
              <w:left w:val="nil"/>
              <w:bottom w:val="nil"/>
              <w:right w:val="nil"/>
            </w:tcBorders>
            <w:shd w:val="cle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20"/>
                <w:szCs w:val="20"/>
                <w:u w:val="none"/>
              </w:rPr>
            </w:pPr>
            <w:r>
              <w:rPr>
                <w:rFonts w:hint="default" w:ascii="方正小标宋_GBK" w:hAnsi="方正小标宋_GBK" w:eastAsia="方正小标宋_GBK" w:cs="方正小标宋_GBK"/>
                <w:i w:val="0"/>
                <w:iCs w:val="0"/>
                <w:color w:val="000000"/>
                <w:kern w:val="0"/>
                <w:sz w:val="20"/>
                <w:szCs w:val="20"/>
                <w:u w:val="none"/>
                <w:bdr w:val="none" w:color="auto" w:sz="0" w:space="0"/>
                <w:lang w:val="en-US" w:eastAsia="zh-CN" w:bidi="ar"/>
              </w:rPr>
              <w:t xml:space="preserve">单位名称：洛阳市自然资源和规划局 </w:t>
            </w:r>
          </w:p>
        </w:tc>
        <w:tc>
          <w:tcPr>
            <w:tcW w:w="415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20"/>
                <w:szCs w:val="20"/>
                <w:u w:val="none"/>
              </w:rPr>
            </w:pPr>
          </w:p>
        </w:tc>
        <w:tc>
          <w:tcPr>
            <w:tcW w:w="505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379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241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c>
          <w:tcPr>
            <w:tcW w:w="705" w:type="dxa"/>
            <w:tcBorders>
              <w:top w:val="nil"/>
              <w:left w:val="nil"/>
              <w:bottom w:val="nil"/>
              <w:right w:val="nil"/>
            </w:tcBorders>
            <w:shd w:val="clear"/>
            <w:vAlign w:val="center"/>
          </w:tcPr>
          <w:p>
            <w:pPr>
              <w:rPr>
                <w:rFonts w:hint="default" w:ascii="方正小标宋_GBK" w:hAnsi="方正小标宋_GBK" w:eastAsia="方正小标宋_GBK" w:cs="方正小标宋_GBK"/>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事项名称</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设定依据</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适用情形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不予实施行政强制依据</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配套监管措施</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对买卖或者以其他形式非法转让土地的行政处罚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1.《中华人民共和国土地管理法实施条例》（国务院令第743号）第五十四条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擅自将农用地改为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建设用地的行政处罚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1.《中华人民共和国土地管理法实施条例》（国务院令第743号）第五十四条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对拒不履行土地复垦义务的行政处罚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1.《中华人民共和国土地管理法》第七十六条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1.《中华人民共和国土地管理法实施条例》（国务院令第743号）第五十六条第一款</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对依法收回国有土地使用权当事人拒不交出土地的，临时使用土地期满拒不归还土地的行政处罚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1.《中华人民共和国土地管理法》第八十一条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1.《中华人民共和国土地管理法实施条例》（国务院令第743号）第五十九条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不按照批准的用途使用土地的行政处罚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1.《中华人民共和国土地管理法》第八十一条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1.《中华人民共和国土地管理法实施条例》（国务院令第743号）第五十九条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对擅自将农民集体所有的土地通过出让、转让使用权或者出租等方式用于非农业建设，或者违法将集体经营性建设用地通过出让、出租等方式交由单位或者个人使用的行政处罚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1.《中华人民共和国土地管理法》第八十二条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1.《中华人民共和国土地管理法实施条例》（国务院令第743号）第六十条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对不符合法律规定的条件非法临时使用土地的行政处罚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《中华人民共和国土地管理法实施条例》第二十条、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第五十六条的行政处罚</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对转让房地产时，不符合法律规定的条件非法转让以出让方式取得的土地使用权的行政处罚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1.《中华人民共和国城市房地产管理法》第三十九条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2.《中华人民共和国城市房地产管理法》第六十六条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对未取得采矿许可证擅自采矿，擅自进入国家规划矿区、对国民经济具有重要价值的矿区和他人矿区范围采矿，擅自开采国家规定实行保护性开采特定矿种的行政处罚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1.《中华人民共和国矿产资源法》第三十九条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1.《中华人民共和国矿产资源法实施细则》（国务院令第152号）第四十二条第一项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2.《矿产资源开采登记管理办法》（国务院令第241号）第十七条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对超越批准的矿区范围采矿的行政处罚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1.《中华人民共和国矿产资源法实施细则》（国务院令第152号）第四十二条第二项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2.《矿产资源开采登记管理办法》（国务院令第241号）第十七条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对买卖、出租或者以其他形式转让矿产资源的行政处罚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1.《中华人民共和国矿产资源法》第四十二条第一款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【行政法规】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1.《中华人民共和国矿产资源法实施细则》（国务院令第152号）第四十二条第三项</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对将探矿权、采矿权倒卖牟利的行政处罚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《矿产资源法》第四十二条第二款、《矿产资源法实</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施细则》第四十二条、《探矿权采矿权转让管理办法》第十四条、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《河南省实施&lt;矿产资源法&gt;办法》第五十三条的行政处罚</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对采取破坏性的开采方法开采矿产资源的行政处罚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1.《中华人民共和国矿产资源法》第四十四条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非法用采矿权作抵押的</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【法律】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《矿产资源法实施细则》第四十二条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0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对超越资质等级许可的范围承揽城乡规划编制工作的；违反国家有关标准编制城乡规划的;未依法取得资质证书承揽城乡规划编制工作的;以欺骗手段取得资质证书承揽城乡规划编制工作的行政处罚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《中华人民共和国城乡规划法》第六十二条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对未取得建设工程规划许可证或者未按照建设工程规划许可证的规定进行建设的行政处罚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《中华人民共和国城乡规划法》第六十四条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对建设单位未在建设工程竣工验收后 6 个月内向城乡规划主管部门报送有关竣工验收资料的行政处罚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《中华人民共和国城乡规划法》第六十七条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对未取得建设工程规划许可证或者未按照建设工程规划许可证的规定进行建设的行政处罚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《河南省实施&lt;中华人民共和国城乡规划法&gt;办法》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第七十一条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7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19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对设计单位未按照城乡规划或者规划条件进行设计的行政处罚</w:t>
            </w:r>
          </w:p>
        </w:tc>
        <w:tc>
          <w:tcPr>
            <w:tcW w:w="41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《河南省实施〈中华人民共和国城乡规划法〉办法》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第七十四条</w:t>
            </w:r>
          </w:p>
        </w:tc>
        <w:tc>
          <w:tcPr>
            <w:tcW w:w="5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一、自然人死亡，无遗产可供执行，又无义务承受人的；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二、法人或者其他组织终止，无财产可供执行，又无义务承受人的；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三、执行标的灭失的；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四、据以执行的行政处罚决定被撤销的；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五、需要终结执行的其他情形。</w:t>
            </w:r>
          </w:p>
        </w:tc>
        <w:tc>
          <w:tcPr>
            <w:tcW w:w="3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《中华人民共和国行政强制法》第五条：采用非强制手段可以达到行政管理目的的，不得设定和实施行政强制。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《自然资源违法行为立案查处工作规程（试行）》</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利用互联网信息系统、执法记录仪等设备等其他方式收集、固定证据。</w:t>
            </w:r>
          </w:p>
        </w:tc>
        <w:tc>
          <w:tcPr>
            <w:tcW w:w="70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r>
    </w:tbl>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zZkYjZhZmFkYjZhOGVjOTRkMjVkNGExNmI1Y2IifQ=="/>
  </w:docVars>
  <w:rsids>
    <w:rsidRoot w:val="00000000"/>
    <w:rsid w:val="55581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2024-04-22T09:08:52Z</dcterms:created>
  <dc:creator>Administrator</dc:creator>
  <cp:lastModifiedBy>晓不晓得</cp:lastModifiedBy>
  <dcterms:modified xsi:type="dcterms:W3CDTF">2024-04-22T09:09:39Z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2E0505F25E1B42D597F3CEFA52ADAB81_12</vt:lpwstr>
  </property>
</Properties>
</file>