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812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3570"/>
        <w:gridCol w:w="5145"/>
        <w:gridCol w:w="3960"/>
        <w:gridCol w:w="2055"/>
        <w:gridCol w:w="1905"/>
        <w:gridCol w:w="7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8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“四张清单”表格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不予处罚事项清单（三）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4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单位名称：洛阳市自然资源和规划局 </w:t>
            </w:r>
          </w:p>
        </w:tc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default"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事项名称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设定依据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适用情形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不予处罚依据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配套监管措施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拒不履行土地复垦义务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《中华人民共和国土地管理法》（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1986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6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25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日通过，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2019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8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26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日中华人民共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和国第十三届全国人民代表大会常务委员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会第十二次会议修订）第七十六条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、在责令改正期限内改正到位；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2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、复垦经验收合格的。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《中华人民共和国行政处罚法》第三十三条第一款、第二款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批评教育、告诫约谈。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破坏或者擅自移动矿区范围界桩或者地面标志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《矿产资源开采登记管理办法》（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1998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2 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月通过，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2014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7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月国务院令第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653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号修订）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第十九条；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>2.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《中华人民共和国行政处罚法》（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1996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3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月通过，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2021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宋体"/>
                <w:bdr w:val="none" w:color="auto" w:sz="0" w:space="0"/>
                <w:lang w:val="en-US" w:eastAsia="zh-CN" w:bidi="ar"/>
              </w:rPr>
              <w:t xml:space="preserve">1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月第三次修正）第三十三 条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首次被发现；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2.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自行纠正或者在责令限期内改正的；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>3.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违法情节轻微，未造成危害后果。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《中华人民共和国行政处罚法》第三十三条第一款、第二款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批评教育、告诫约谈。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不办理采矿许可证变更登记或者注销登记手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续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《矿产资源开采登记管理办法》（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1998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月通过，国务院令第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241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号）第二十二条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在责令限期内改正的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《中华人民共和国行政处罚法》第三十三条第一款、第二款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批评教育、告诫约谈。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应当编制矿山地质环境保护与治理恢复方案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而未编制的，或者扩大开采规模、变更矿区 范围或者开采方式，未重新编制矿山地质环 境保护与治理恢复方案并经原审批机关批准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《矿山地质环境保护规定》（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2009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3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月通 过，国土资源部令第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44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号发布，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2019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7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月第三次修正）第二十六条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在责令限期内改正的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《中华人民共和国行政处罚法》第三十三条第一款、第二款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批评教育、告诫约谈。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未按照批准的矿山地质环境保护与土地复垦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方案治理，或者在矿山被批准关闭、闭坑前 未完成治理恢复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《矿山地质环境保护规定》（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2009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3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月通 过，国土资源部令第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44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号公布，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2019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7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月第三次修正）第二十七条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在责令限期内改正的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《中华人民共和国行政处罚法》第三十三条第一款、第二款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批评教育、告诫约谈。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建设单位未按规定对地质灾害易发区内的建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设工程进行地质灾害危险性评估、配套地质 灾害治理工程未经验收或验收不合格主体工 程即投入生产或者使用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《地质灾害防治条例》（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2003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11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19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国务院第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29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次常务会议通过，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自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2004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3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1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日起施行）第四十一条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、在责令改正期限内改正到位；</w:t>
            </w:r>
            <w:r>
              <w:rPr>
                <w:rStyle w:val="7"/>
                <w:rFonts w:eastAsia="宋体"/>
                <w:bdr w:val="none" w:color="auto" w:sz="0" w:space="0"/>
                <w:lang w:val="en-US" w:eastAsia="zh-CN" w:bidi="ar"/>
              </w:rPr>
              <w:t xml:space="preserve">2 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>、未造成严重后果的。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《中华人民共和国行政处罚法》第三十三条第一款、第二款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批评教育、告诫约谈。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对工程建设等人为活动引发的地质灾害不予治理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《地质灾害防治条例》（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2003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11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19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国务院第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29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次常务会议通过，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自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2004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3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1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日起施行）第四十二条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在责令治理期限内治理到位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《中华人民共和国行政处罚法》第三十三条第一款、第二款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批评教育、告诫约谈。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建设单位未按规定对地质灾害易发区内的</w:t>
            </w:r>
            <w:r>
              <w:rPr>
                <w:rStyle w:val="8"/>
                <w:bdr w:val="none" w:color="auto" w:sz="0" w:space="0"/>
                <w:lang w:val="en-US" w:eastAsia="zh-CN" w:bidi="ar"/>
              </w:rPr>
              <w:t xml:space="preserve"> 建设工程进行地质灾害危险性评估、配套地 质灾害治理工程未经验收或验收不合格主体 工程即投入生产或者使用的行为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《地质灾害防治条例》（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2003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11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19 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日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国务院第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29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次常务会议通过，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自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2004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3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1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日起施行）第四十一条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在责令限期内改正的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《中华人民共和国行政处罚法》第三十三条第一款、第二款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批评教育、告诫约谈。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不汇交测绘成果资料</w:t>
            </w:r>
          </w:p>
        </w:tc>
        <w:tc>
          <w:tcPr>
            <w:tcW w:w="5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《中华人民共和国测绘法》（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1992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12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月通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过，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2017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4"/>
                <w:rFonts w:eastAsia="仿宋"/>
                <w:bdr w:val="none" w:color="auto" w:sz="0" w:space="0"/>
                <w:lang w:val="en-US" w:eastAsia="zh-CN" w:bidi="ar"/>
              </w:rPr>
              <w:t xml:space="preserve">4 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月第二次修订）第六十条</w:t>
            </w:r>
          </w:p>
        </w:tc>
        <w:tc>
          <w:tcPr>
            <w:tcW w:w="3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在责令限期内改正的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《中华人民共和国行政处罚法》第三十三条第一款、第二款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批评教育、告诫约谈。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MzZkYjZhZmFkYjZhOGVjOTRkMjVkNGExNmI1Y2IifQ=="/>
  </w:docVars>
  <w:rsids>
    <w:rsidRoot w:val="00000000"/>
    <w:rsid w:val="3EBC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2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101"/>
    <w:basedOn w:val="3"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6">
    <w:name w:val="font131"/>
    <w:basedOn w:val="3"/>
    <w:uiPriority w:val="0"/>
    <w:rPr>
      <w:rFonts w:ascii="Nimbus Roman No9 L" w:hAnsi="Nimbus Roman No9 L" w:eastAsia="Nimbus Roman No9 L" w:cs="Nimbus Roman No9 L"/>
      <w:color w:val="000000"/>
      <w:sz w:val="20"/>
      <w:szCs w:val="20"/>
      <w:u w:val="none"/>
    </w:rPr>
  </w:style>
  <w:style w:type="character" w:customStyle="1" w:styleId="7">
    <w:name w:val="font112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91"/>
    <w:basedOn w:val="3"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2024-04-22T09:07:52Z</dcterms:created>
  <dc:creator>Administrator</dc:creator>
  <cp:lastModifiedBy>晓不晓得</cp:lastModifiedBy>
  <dcterms:modified xsi:type="dcterms:W3CDTF">2024-04-22T09:08:27Z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D87CE7D25F084C2191F55EA755AC2D3D_12</vt:lpwstr>
  </property>
</Properties>
</file>