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100" w:after="100" w:line="600" w:lineRule="exact"/>
        <w:jc w:val="both"/>
        <w:rPr>
          <w:rFonts w:ascii="Times New Roman" w:hAnsi="宋体"/>
          <w:b/>
          <w:kern w:val="2"/>
          <w:sz w:val="44"/>
          <w:szCs w:val="44"/>
        </w:rPr>
      </w:pPr>
      <w:r>
        <w:rPr>
          <w:rFonts w:ascii="Times New Roman" w:hAnsi="Times New Roman" w:eastAsia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 xml:space="preserve">1      </w:t>
      </w:r>
      <w:r>
        <w:rPr>
          <w:rFonts w:ascii="Times New Roman" w:hAnsi="宋体"/>
          <w:b/>
          <w:kern w:val="2"/>
          <w:sz w:val="44"/>
          <w:szCs w:val="44"/>
        </w:rPr>
        <w:t>洛阳市公平竞争审查情况表</w:t>
      </w:r>
    </w:p>
    <w:p>
      <w:pPr>
        <w:pStyle w:val="6"/>
        <w:widowControl/>
        <w:spacing w:before="100" w:after="100" w:line="600" w:lineRule="exact"/>
        <w:jc w:val="center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Times New Roman" w:hAnsi="Times New Roman"/>
          <w:color w:val="000000"/>
        </w:rPr>
        <w:t xml:space="preserve">                                    </w:t>
      </w:r>
      <w:r>
        <w:rPr>
          <w:rFonts w:hint="eastAsia" w:ascii="仿宋" w:hAnsi="仿宋" w:eastAsia="仿宋"/>
          <w:color w:val="000000"/>
        </w:rPr>
        <w:t xml:space="preserve"> </w:t>
      </w:r>
      <w:r>
        <w:rPr>
          <w:rFonts w:ascii="仿宋" w:hAnsi="仿宋" w:eastAsia="仿宋"/>
          <w:kern w:val="2"/>
          <w:sz w:val="32"/>
          <w:szCs w:val="32"/>
        </w:rPr>
        <w:t xml:space="preserve">年 </w:t>
      </w: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  <w:r>
        <w:rPr>
          <w:rFonts w:ascii="仿宋" w:hAnsi="仿宋" w:eastAsia="仿宋"/>
          <w:kern w:val="2"/>
          <w:sz w:val="32"/>
          <w:szCs w:val="32"/>
        </w:rPr>
        <w:t>月</w:t>
      </w: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  <w:r>
        <w:rPr>
          <w:rFonts w:ascii="仿宋" w:hAnsi="仿宋" w:eastAsia="仿宋"/>
          <w:kern w:val="2"/>
          <w:sz w:val="32"/>
          <w:szCs w:val="32"/>
        </w:rPr>
        <w:t xml:space="preserve"> 日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359"/>
        <w:gridCol w:w="2524"/>
        <w:gridCol w:w="1364"/>
        <w:gridCol w:w="18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政策措施名称</w:t>
            </w:r>
          </w:p>
        </w:tc>
        <w:tc>
          <w:tcPr>
            <w:tcW w:w="71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1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ind w:firstLine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Verdana"/>
                <w:color w:val="000000"/>
              </w:rPr>
              <w:t>起草</w:t>
            </w:r>
          </w:p>
          <w:p>
            <w:pPr>
              <w:pStyle w:val="6"/>
              <w:widowControl/>
              <w:spacing w:line="600" w:lineRule="exact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部门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单位名称</w:t>
            </w:r>
          </w:p>
        </w:tc>
        <w:tc>
          <w:tcPr>
            <w:tcW w:w="57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负责人</w:t>
            </w:r>
          </w:p>
        </w:tc>
        <w:tc>
          <w:tcPr>
            <w:tcW w:w="2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职务</w:t>
            </w:r>
          </w:p>
        </w:tc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1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联系人</w:t>
            </w:r>
          </w:p>
        </w:tc>
        <w:tc>
          <w:tcPr>
            <w:tcW w:w="2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联络方式</w:t>
            </w:r>
          </w:p>
        </w:tc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15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具体审查部门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部门名称</w:t>
            </w:r>
          </w:p>
        </w:tc>
        <w:tc>
          <w:tcPr>
            <w:tcW w:w="57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1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部门负责人</w:t>
            </w:r>
          </w:p>
        </w:tc>
        <w:tc>
          <w:tcPr>
            <w:tcW w:w="2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职务</w:t>
            </w:r>
          </w:p>
        </w:tc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15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联系人</w:t>
            </w:r>
          </w:p>
        </w:tc>
        <w:tc>
          <w:tcPr>
            <w:tcW w:w="2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联络方式</w:t>
            </w:r>
          </w:p>
        </w:tc>
        <w:tc>
          <w:tcPr>
            <w:tcW w:w="1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政策措施类别</w:t>
            </w:r>
          </w:p>
        </w:tc>
        <w:tc>
          <w:tcPr>
            <w:tcW w:w="71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（对照审查四类标准填写）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tblCellSpacing w:w="0" w:type="dxa"/>
          <w:jc w:val="center"/>
        </w:trPr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政策措施制定背景、重要性、必要性</w:t>
            </w:r>
          </w:p>
        </w:tc>
        <w:tc>
          <w:tcPr>
            <w:tcW w:w="71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  <w:jc w:val="center"/>
        </w:trPr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审查方式</w:t>
            </w:r>
          </w:p>
        </w:tc>
        <w:tc>
          <w:tcPr>
            <w:tcW w:w="71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0" w:type="dxa"/>
          <w:jc w:val="center"/>
        </w:trPr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Verdana"/>
                <w:color w:val="000000"/>
              </w:rPr>
              <w:t>审查结论</w:t>
            </w:r>
          </w:p>
        </w:tc>
        <w:tc>
          <w:tcPr>
            <w:tcW w:w="71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是否违反相关标准（如违反，请详细说明情况）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Verdana"/>
                <w:color w:val="000000"/>
              </w:rPr>
              <w:t>是否适用例外规定</w:t>
            </w:r>
          </w:p>
        </w:tc>
        <w:tc>
          <w:tcPr>
            <w:tcW w:w="71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Verdana"/>
                <w:color w:val="000000"/>
                <w:kern w:val="0"/>
                <w:sz w:val="24"/>
              </w:rPr>
              <w:t>如适用，请详细说明符合相关情形和条件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CellSpacing w:w="0" w:type="dxa"/>
          <w:jc w:val="center"/>
        </w:trPr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Verdana"/>
                <w:color w:val="000000"/>
              </w:rPr>
              <w:t>其他需要说明的情况</w:t>
            </w:r>
          </w:p>
        </w:tc>
        <w:tc>
          <w:tcPr>
            <w:tcW w:w="71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tblCellSpacing w:w="0" w:type="dxa"/>
          <w:jc w:val="center"/>
        </w:trPr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Verdana"/>
                <w:color w:val="000000"/>
              </w:rPr>
              <w:t>审查机构主要负责人意见</w:t>
            </w:r>
          </w:p>
        </w:tc>
        <w:tc>
          <w:tcPr>
            <w:tcW w:w="71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pStyle w:val="6"/>
        <w:widowControl/>
        <w:shd w:val="clear" w:color="auto" w:fill="FFFFFF"/>
        <w:spacing w:line="600" w:lineRule="exact"/>
        <w:jc w:val="both"/>
        <w:rPr>
          <w:rFonts w:ascii="Times New Roman" w:hAnsi="Times New Roman" w:eastAsia="黑体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line="600" w:lineRule="exact"/>
        <w:jc w:val="both"/>
        <w:rPr>
          <w:rFonts w:ascii="Times New Roman" w:hAnsi="Times New Roman" w:eastAsia="黑体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line="600" w:lineRule="exact"/>
        <w:jc w:val="both"/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Ansi="宋体"/>
          <w:b/>
          <w:sz w:val="44"/>
          <w:szCs w:val="44"/>
        </w:rPr>
      </w:pPr>
      <w:bookmarkStart w:id="0" w:name="_GoBack"/>
      <w:r>
        <w:rPr>
          <w:rFonts w:hAnsi="宋体"/>
          <w:b/>
          <w:sz w:val="44"/>
          <w:szCs w:val="44"/>
        </w:rPr>
        <w:t>公平竞争审查报告（参考样式）</w:t>
      </w:r>
    </w:p>
    <w:bookmarkEnd w:id="0"/>
    <w:p>
      <w:pPr>
        <w:spacing w:line="600" w:lineRule="exact"/>
        <w:jc w:val="center"/>
        <w:rPr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（政策措施审议、批准主体）：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《XXX》已经进行了公平竞争审查，现将审查情况报告如下：</w:t>
      </w:r>
    </w:p>
    <w:p>
      <w:pPr>
        <w:spacing w:line="600" w:lineRule="exact"/>
        <w:ind w:firstLine="720" w:firstLineChars="22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一、审查概况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根据公平竞争审查制度的要求，我单位（部门）制定的《XXXXX》，属于XX（对照审查四类标准，列明政策措施的种类、性质），已经于X年X月X日至X日，经过我单位（部门）公平竞争审查。</w:t>
      </w:r>
    </w:p>
    <w:p>
      <w:pPr>
        <w:spacing w:line="600" w:lineRule="exact"/>
        <w:ind w:firstLine="720" w:firstLineChars="22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二、审查方式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严格对照审查标准进行自我审查。其中，要写明听取利害关系人意见或者向社会公开征求意见的途径、形式，听取到的意见和建议内容。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法律法规规章规定必须组织听证的，写明组织听证的时间、地点、听证人员组成以及听取到的意见和建议内容。</w:t>
      </w:r>
    </w:p>
    <w:p>
      <w:pPr>
        <w:spacing w:line="600" w:lineRule="exact"/>
        <w:ind w:firstLine="720" w:firstLineChars="22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三、审查结论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对照审查标准，区分情况，分别作出“可以实施”、“不予出台”、“政策调整”或者“属于例外规定”的审查结论。其中，如果“属于例外规定”的，政策制定机关应当说明政策措施对实现政策目的不可或缺，且不会严重排除和限制市场竞争，并明确实施期限。</w:t>
      </w:r>
    </w:p>
    <w:p>
      <w:pPr>
        <w:spacing w:line="600" w:lineRule="exact"/>
        <w:ind w:firstLine="720" w:firstLineChars="22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四、相关问题的处理建议</w:t>
      </w:r>
    </w:p>
    <w:p>
      <w:pPr>
        <w:spacing w:line="600" w:lineRule="exact"/>
        <w:ind w:firstLine="720" w:firstLineChars="22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包括对听取意见过程中，利害关系人、社会、群众提出的意见和建议采纳情况、提出问题的答复情况；在审查结论中认为具有排除、限制竞争效果，需要进行政策调整的，可提出具体调整方案；经过审查，认为属于例外规定的，舆论引导及宣传解释预案、方案情况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（审查部门）</w:t>
      </w:r>
    </w:p>
    <w:p>
      <w:pPr>
        <w:spacing w:line="60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XX年XX月XX日</w:t>
      </w:r>
    </w:p>
    <w:p>
      <w:pPr>
        <w:spacing w:line="600" w:lineRule="exact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E5FC2"/>
    <w:rsid w:val="204E5FC2"/>
    <w:rsid w:val="272C352F"/>
    <w:rsid w:val="30CF5017"/>
    <w:rsid w:val="4E8856E2"/>
    <w:rsid w:val="5123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2020-04-22T01:24:00Z</dcterms:created>
  <dc:creator>伊水花城</dc:creator>
  <cp:lastModifiedBy>Administrator</cp:lastModifiedBy>
  <dcterms:modified xsi:type="dcterms:W3CDTF">2020-04-30T03:49:09Z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