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200" w:after="200" w:line="240" w:lineRule="auto"/>
        <w:jc w:val="center"/>
        <w:textAlignment w:val="auto"/>
        <w:rPr>
          <w:rFonts w:hint="default" w:ascii="方正小标宋简体" w:hAnsi="方正小标宋简体" w:eastAsia="方正小标宋简体" w:cs="方正小标宋简体"/>
          <w:b w:val="0"/>
          <w:bCs/>
          <w:sz w:val="40"/>
          <w:szCs w:val="22"/>
          <w:lang w:val="en-US" w:eastAsia="zh-CN"/>
        </w:rPr>
      </w:pPr>
      <w:r>
        <w:rPr>
          <w:rFonts w:hint="eastAsia" w:ascii="方正小标宋简体" w:hAnsi="方正小标宋简体" w:eastAsia="方正小标宋简体" w:cs="方正小标宋简体"/>
          <w:b w:val="0"/>
          <w:bCs/>
          <w:sz w:val="40"/>
          <w:szCs w:val="22"/>
          <w:lang w:val="en-US" w:eastAsia="zh-CN"/>
        </w:rPr>
        <w:t>新建预售商品住房项目备案表</w:t>
      </w:r>
    </w:p>
    <w:p>
      <w:pPr>
        <w:keepNext w:val="0"/>
        <w:keepLines w:val="0"/>
        <w:pageBreakBefore w:val="0"/>
        <w:widowControl w:val="0"/>
        <w:kinsoku/>
        <w:wordWrap/>
        <w:overflowPunct/>
        <w:topLinePunct w:val="0"/>
        <w:autoSpaceDE/>
        <w:autoSpaceDN/>
        <w:bidi w:val="0"/>
        <w:adjustRightInd/>
        <w:snapToGrid/>
        <w:spacing w:after="159" w:afterLines="50"/>
        <w:jc w:val="center"/>
        <w:textAlignment w:val="auto"/>
        <w:rPr>
          <w:rFonts w:hint="eastAsia"/>
          <w:sz w:val="28"/>
          <w:szCs w:val="28"/>
          <w:lang w:val="en-US" w:eastAsia="zh-CN"/>
        </w:rPr>
      </w:pPr>
      <w:r>
        <w:rPr>
          <w:rFonts w:hint="eastAsia" w:ascii="楷体" w:hAnsi="楷体" w:eastAsia="楷体" w:cs="楷体"/>
          <w:sz w:val="28"/>
          <w:szCs w:val="28"/>
          <w:lang w:val="en-US" w:eastAsia="zh-CN"/>
        </w:rPr>
        <w:t>（提取住房公积金支付购房首付款）</w:t>
      </w:r>
    </w:p>
    <w:tbl>
      <w:tblPr>
        <w:tblStyle w:val="4"/>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468"/>
        <w:gridCol w:w="2514"/>
        <w:gridCol w:w="1956"/>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17" w:type="dxa"/>
            <w:gridSpan w:val="5"/>
            <w:shd w:val="clear" w:color="auto" w:fill="F1F1F1" w:themeFill="background1" w:themeFillShade="F2"/>
            <w:vAlign w:val="top"/>
          </w:tcPr>
          <w:p>
            <w:pPr>
              <w:keepNext w:val="0"/>
              <w:keepLines w:val="0"/>
              <w:pageBreakBefore w:val="0"/>
              <w:widowControl w:val="0"/>
              <w:kinsoku/>
              <w:wordWrap/>
              <w:overflowPunct/>
              <w:topLinePunct w:val="0"/>
              <w:autoSpaceDE/>
              <w:autoSpaceDN/>
              <w:bidi w:val="0"/>
              <w:adjustRightInd/>
              <w:snapToGrid/>
              <w:spacing w:after="159" w:afterLines="50" w:line="5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sz w:val="28"/>
                <w:szCs w:val="28"/>
                <w:vertAlign w:val="baseline"/>
                <w:lang w:val="en-US" w:eastAsia="zh-CN"/>
              </w:rPr>
              <w:t>房地产开发企业信息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33" w:type="dxa"/>
            <w:gridSpan w:val="2"/>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企业名称</w:t>
            </w:r>
          </w:p>
        </w:tc>
        <w:tc>
          <w:tcPr>
            <w:tcW w:w="6984" w:type="dxa"/>
            <w:gridSpan w:val="3"/>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b w:val="0"/>
                <w:color w:val="0125FD"/>
                <w:kern w:val="2"/>
                <w:sz w:val="28"/>
                <w:szCs w:val="28"/>
                <w:lang w:val="en-US" w:eastAsia="zh-CN" w:bidi="ar-SA"/>
              </w:rPr>
            </w:pPr>
            <w:r>
              <w:rPr>
                <w:rFonts w:hint="eastAsia" w:ascii="仿宋_GB2312" w:hAnsi="仿宋_GB2312" w:eastAsia="仿宋_GB2312" w:cs="仿宋_GB2312"/>
                <w:b w:val="0"/>
                <w:color w:val="0125FD"/>
                <w:kern w:val="2"/>
                <w:sz w:val="28"/>
                <w:szCs w:val="28"/>
                <w:lang w:val="en-US" w:eastAsia="zh-CN" w:bidi="ar-SA"/>
              </w:rPr>
              <w:t>洛阳市**房地产开发有限公司（公章）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33" w:type="dxa"/>
            <w:gridSpan w:val="2"/>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default"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通讯地址</w:t>
            </w:r>
          </w:p>
        </w:tc>
        <w:tc>
          <w:tcPr>
            <w:tcW w:w="6984" w:type="dxa"/>
            <w:gridSpan w:val="3"/>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b w:val="0"/>
                <w:color w:val="0125FD"/>
                <w:kern w:val="2"/>
                <w:sz w:val="28"/>
                <w:szCs w:val="28"/>
                <w:lang w:val="en-US" w:eastAsia="zh-CN" w:bidi="ar-SA"/>
              </w:rPr>
            </w:pPr>
            <w:r>
              <w:rPr>
                <w:rFonts w:hint="eastAsia" w:ascii="仿宋_GB2312" w:hAnsi="仿宋_GB2312" w:eastAsia="仿宋_GB2312" w:cs="仿宋_GB2312"/>
                <w:b w:val="0"/>
                <w:color w:val="0125FD"/>
                <w:kern w:val="2"/>
                <w:sz w:val="28"/>
                <w:szCs w:val="28"/>
                <w:lang w:val="en-US" w:eastAsia="zh-CN" w:bidi="ar-SA"/>
              </w:rPr>
              <w:t>河南省洛阳市**县**镇**路**号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33" w:type="dxa"/>
            <w:gridSpan w:val="2"/>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法定代表人</w:t>
            </w:r>
          </w:p>
        </w:tc>
        <w:tc>
          <w:tcPr>
            <w:tcW w:w="2514" w:type="dxa"/>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left"/>
              <w:textAlignment w:val="auto"/>
              <w:rPr>
                <w:rFonts w:hint="default" w:ascii="仿宋_GB2312" w:hAnsi="仿宋_GB2312" w:eastAsia="仿宋_GB2312" w:cs="仿宋_GB2312"/>
                <w:b w:val="0"/>
                <w:color w:val="0125FD"/>
                <w:kern w:val="2"/>
                <w:sz w:val="28"/>
                <w:szCs w:val="28"/>
                <w:lang w:val="en-US" w:eastAsia="zh-CN" w:bidi="ar-SA"/>
              </w:rPr>
            </w:pPr>
            <w:r>
              <w:rPr>
                <w:rFonts w:hint="eastAsia" w:ascii="仿宋_GB2312" w:hAnsi="仿宋_GB2312" w:eastAsia="仿宋_GB2312" w:cs="仿宋_GB2312"/>
                <w:b w:val="0"/>
                <w:color w:val="0125FD"/>
                <w:kern w:val="2"/>
                <w:sz w:val="28"/>
                <w:szCs w:val="28"/>
                <w:lang w:val="en-US" w:eastAsia="zh-CN" w:bidi="ar-SA"/>
              </w:rPr>
              <w:t>王**</w:t>
            </w:r>
          </w:p>
        </w:tc>
        <w:tc>
          <w:tcPr>
            <w:tcW w:w="1956" w:type="dxa"/>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default" w:ascii="仿宋_GB2312" w:hAnsi="仿宋_GB2312" w:eastAsia="仿宋_GB2312" w:cs="仿宋_GB2312"/>
                <w:b w:val="0"/>
                <w:bCs/>
                <w:color w:val="auto"/>
                <w:sz w:val="28"/>
                <w:szCs w:val="28"/>
                <w:vertAlign w:val="baseline"/>
                <w:lang w:val="en-US" w:eastAsia="zh-CN"/>
              </w:rPr>
            </w:pPr>
            <w:r>
              <w:rPr>
                <w:rFonts w:hint="eastAsia" w:ascii="仿宋_GB2312" w:hAnsi="仿宋_GB2312" w:eastAsia="仿宋_GB2312" w:cs="仿宋_GB2312"/>
                <w:b w:val="0"/>
                <w:bCs/>
                <w:color w:val="auto"/>
                <w:sz w:val="28"/>
                <w:szCs w:val="28"/>
                <w:vertAlign w:val="baseline"/>
                <w:lang w:val="en-US" w:eastAsia="zh-CN"/>
              </w:rPr>
              <w:t>联系电话</w:t>
            </w:r>
          </w:p>
        </w:tc>
        <w:tc>
          <w:tcPr>
            <w:tcW w:w="2514" w:type="dxa"/>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left"/>
              <w:textAlignment w:val="auto"/>
              <w:rPr>
                <w:rFonts w:hint="default" w:ascii="仿宋_GB2312" w:hAnsi="仿宋_GB2312" w:eastAsia="仿宋_GB2312" w:cs="仿宋_GB2312"/>
                <w:b w:val="0"/>
                <w:color w:val="0125FD"/>
                <w:kern w:val="2"/>
                <w:sz w:val="28"/>
                <w:szCs w:val="28"/>
                <w:lang w:val="en-US" w:eastAsia="zh-CN" w:bidi="ar-SA"/>
              </w:rPr>
            </w:pPr>
            <w:r>
              <w:rPr>
                <w:rFonts w:hint="eastAsia" w:ascii="仿宋_GB2312" w:hAnsi="仿宋_GB2312" w:eastAsia="仿宋_GB2312" w:cs="仿宋_GB2312"/>
                <w:b w:val="0"/>
                <w:color w:val="0125FD"/>
                <w:kern w:val="2"/>
                <w:sz w:val="28"/>
                <w:szCs w:val="28"/>
                <w:lang w:val="en-US" w:eastAsia="zh-CN" w:bidi="ar-SA"/>
              </w:rPr>
              <w:t>6231****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33" w:type="dxa"/>
            <w:gridSpan w:val="2"/>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b w:val="0"/>
                <w:bCs/>
                <w:kern w:val="44"/>
                <w:sz w:val="28"/>
                <w:szCs w:val="28"/>
                <w:vertAlign w:val="baseline"/>
                <w:lang w:val="en-US" w:eastAsia="zh-CN" w:bidi="ar-SA"/>
              </w:rPr>
            </w:pPr>
            <w:r>
              <w:rPr>
                <w:rFonts w:hint="eastAsia" w:ascii="仿宋_GB2312" w:hAnsi="仿宋_GB2312" w:eastAsia="仿宋_GB2312" w:cs="仿宋_GB2312"/>
                <w:b w:val="0"/>
                <w:bCs/>
                <w:sz w:val="28"/>
                <w:szCs w:val="28"/>
                <w:vertAlign w:val="baseline"/>
                <w:lang w:val="en-US" w:eastAsia="zh-CN"/>
              </w:rPr>
              <w:t>经办人</w:t>
            </w:r>
          </w:p>
        </w:tc>
        <w:tc>
          <w:tcPr>
            <w:tcW w:w="2514" w:type="dxa"/>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b w:val="0"/>
                <w:color w:val="0125FD"/>
                <w:kern w:val="2"/>
                <w:sz w:val="28"/>
                <w:szCs w:val="28"/>
                <w:lang w:val="en-US" w:eastAsia="zh-CN" w:bidi="ar-SA"/>
              </w:rPr>
            </w:pPr>
            <w:r>
              <w:rPr>
                <w:rFonts w:hint="eastAsia" w:ascii="仿宋_GB2312" w:hAnsi="仿宋_GB2312" w:eastAsia="仿宋_GB2312" w:cs="仿宋_GB2312"/>
                <w:b w:val="0"/>
                <w:color w:val="0125FD"/>
                <w:kern w:val="2"/>
                <w:sz w:val="28"/>
                <w:szCs w:val="28"/>
                <w:lang w:val="en-US" w:eastAsia="zh-CN" w:bidi="ar-SA"/>
              </w:rPr>
              <w:t>李**</w:t>
            </w:r>
          </w:p>
        </w:tc>
        <w:tc>
          <w:tcPr>
            <w:tcW w:w="1956" w:type="dxa"/>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default" w:ascii="仿宋_GB2312" w:hAnsi="仿宋_GB2312" w:eastAsia="仿宋_GB2312" w:cs="仿宋_GB2312"/>
                <w:b w:val="0"/>
                <w:bCs/>
                <w:color w:val="auto"/>
                <w:kern w:val="44"/>
                <w:sz w:val="28"/>
                <w:szCs w:val="28"/>
                <w:vertAlign w:val="baseline"/>
                <w:lang w:val="en-US" w:eastAsia="zh-CN" w:bidi="ar-SA"/>
              </w:rPr>
            </w:pPr>
            <w:r>
              <w:rPr>
                <w:rFonts w:hint="eastAsia" w:ascii="仿宋_GB2312" w:hAnsi="仿宋_GB2312" w:eastAsia="仿宋_GB2312" w:cs="仿宋_GB2312"/>
                <w:b w:val="0"/>
                <w:bCs/>
                <w:color w:val="auto"/>
                <w:sz w:val="28"/>
                <w:szCs w:val="28"/>
                <w:vertAlign w:val="baseline"/>
                <w:lang w:val="en-US" w:eastAsia="zh-CN"/>
              </w:rPr>
              <w:t>手机号码</w:t>
            </w:r>
          </w:p>
        </w:tc>
        <w:tc>
          <w:tcPr>
            <w:tcW w:w="2514" w:type="dxa"/>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b w:val="0"/>
                <w:color w:val="0125FD"/>
                <w:kern w:val="2"/>
                <w:sz w:val="28"/>
                <w:szCs w:val="28"/>
                <w:lang w:val="en-US" w:eastAsia="zh-CN" w:bidi="ar-SA"/>
              </w:rPr>
            </w:pPr>
            <w:r>
              <w:rPr>
                <w:rFonts w:hint="eastAsia" w:ascii="仿宋_GB2312" w:hAnsi="仿宋_GB2312" w:eastAsia="仿宋_GB2312" w:cs="仿宋_GB2312"/>
                <w:b w:val="0"/>
                <w:color w:val="0125FD"/>
                <w:kern w:val="2"/>
                <w:sz w:val="28"/>
                <w:szCs w:val="28"/>
                <w:lang w:val="en-US" w:eastAsia="zh-CN" w:bidi="ar-SA"/>
              </w:rPr>
              <w:t>139******00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17" w:type="dxa"/>
            <w:gridSpan w:val="5"/>
            <w:shd w:val="clear" w:color="auto" w:fill="F1F1F1" w:themeFill="background1" w:themeFillShade="F2"/>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新建预售商品住房项目及监管账户信息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5" w:type="dxa"/>
            <w:vMerge w:val="restart"/>
            <w:vAlign w:val="center"/>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default"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1</w:t>
            </w:r>
          </w:p>
        </w:tc>
        <w:tc>
          <w:tcPr>
            <w:tcW w:w="1468" w:type="dxa"/>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项目名称</w:t>
            </w:r>
          </w:p>
        </w:tc>
        <w:tc>
          <w:tcPr>
            <w:tcW w:w="6984" w:type="dxa"/>
            <w:gridSpan w:val="3"/>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b w:val="0"/>
                <w:color w:val="0125FD"/>
                <w:kern w:val="2"/>
                <w:sz w:val="28"/>
                <w:szCs w:val="28"/>
                <w:lang w:val="en-US" w:eastAsia="zh-CN" w:bidi="ar-SA"/>
              </w:rPr>
            </w:pPr>
            <w:r>
              <w:rPr>
                <w:rFonts w:hint="eastAsia" w:ascii="仿宋_GB2312" w:hAnsi="仿宋_GB2312" w:eastAsia="仿宋_GB2312" w:cs="仿宋_GB2312"/>
                <w:b w:val="0"/>
                <w:color w:val="0125FD"/>
                <w:kern w:val="2"/>
                <w:sz w:val="28"/>
                <w:szCs w:val="28"/>
                <w:lang w:val="en-US" w:eastAsia="zh-CN" w:bidi="ar-SA"/>
              </w:rPr>
              <w:t>****小区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5" w:type="dxa"/>
            <w:vMerge w:val="continue"/>
            <w:vAlign w:val="center"/>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b w:val="0"/>
                <w:bCs/>
                <w:sz w:val="28"/>
                <w:szCs w:val="28"/>
                <w:vertAlign w:val="baseline"/>
                <w:lang w:val="en-US" w:eastAsia="zh-CN"/>
              </w:rPr>
            </w:pPr>
          </w:p>
        </w:tc>
        <w:tc>
          <w:tcPr>
            <w:tcW w:w="1468" w:type="dxa"/>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项目地址</w:t>
            </w:r>
          </w:p>
        </w:tc>
        <w:tc>
          <w:tcPr>
            <w:tcW w:w="6984" w:type="dxa"/>
            <w:gridSpan w:val="3"/>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b w:val="0"/>
                <w:color w:val="0125FD"/>
                <w:kern w:val="2"/>
                <w:sz w:val="28"/>
                <w:szCs w:val="28"/>
                <w:lang w:val="en-US" w:eastAsia="zh-CN" w:bidi="ar-SA"/>
              </w:rPr>
            </w:pPr>
            <w:r>
              <w:rPr>
                <w:rFonts w:hint="eastAsia" w:ascii="仿宋_GB2312" w:hAnsi="仿宋_GB2312" w:eastAsia="仿宋_GB2312" w:cs="仿宋_GB2312"/>
                <w:b w:val="0"/>
                <w:color w:val="0125FD"/>
                <w:kern w:val="2"/>
                <w:sz w:val="28"/>
                <w:szCs w:val="28"/>
                <w:lang w:val="en-US" w:eastAsia="zh-CN" w:bidi="ar-SA"/>
              </w:rPr>
              <w:t>**区**路****9幢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5" w:type="dxa"/>
            <w:vMerge w:val="continue"/>
            <w:vAlign w:val="center"/>
          </w:tcPr>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仿宋_GB2312" w:hAnsi="仿宋_GB2312" w:eastAsia="仿宋_GB2312" w:cs="仿宋_GB2312"/>
                <w:b w:val="0"/>
                <w:bCs/>
                <w:sz w:val="28"/>
                <w:szCs w:val="28"/>
                <w:vertAlign w:val="baseline"/>
                <w:lang w:val="en-US" w:eastAsia="zh-CN"/>
              </w:rPr>
            </w:pPr>
          </w:p>
        </w:tc>
        <w:tc>
          <w:tcPr>
            <w:tcW w:w="1468" w:type="dxa"/>
            <w:vAlign w:val="center"/>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监管银行</w:t>
            </w:r>
          </w:p>
        </w:tc>
        <w:tc>
          <w:tcPr>
            <w:tcW w:w="6984" w:type="dxa"/>
            <w:gridSpan w:val="3"/>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left"/>
              <w:textAlignment w:val="auto"/>
              <w:rPr>
                <w:rFonts w:hint="default" w:ascii="仿宋_GB2312" w:hAnsi="仿宋_GB2312" w:eastAsia="仿宋_GB2312" w:cs="仿宋_GB2312"/>
                <w:b w:val="0"/>
                <w:color w:val="0125FD"/>
                <w:kern w:val="2"/>
                <w:sz w:val="28"/>
                <w:szCs w:val="28"/>
                <w:lang w:val="en-US" w:eastAsia="zh-CN" w:bidi="ar-SA"/>
              </w:rPr>
            </w:pPr>
            <w:r>
              <w:rPr>
                <w:rFonts w:hint="eastAsia" w:ascii="仿宋_GB2312" w:hAnsi="仿宋_GB2312" w:eastAsia="仿宋_GB2312" w:cs="仿宋_GB2312"/>
                <w:b w:val="0"/>
                <w:color w:val="0125FD"/>
                <w:kern w:val="2"/>
                <w:sz w:val="28"/>
                <w:szCs w:val="28"/>
                <w:lang w:val="en-US" w:eastAsia="zh-CN" w:bidi="ar-SA"/>
              </w:rPr>
              <w:t>中国银行**支行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5" w:type="dxa"/>
            <w:vMerge w:val="continue"/>
            <w:vAlign w:val="center"/>
          </w:tcPr>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仿宋_GB2312" w:hAnsi="仿宋_GB2312" w:eastAsia="仿宋_GB2312" w:cs="仿宋_GB2312"/>
                <w:b w:val="0"/>
                <w:bCs/>
                <w:sz w:val="28"/>
                <w:szCs w:val="28"/>
                <w:vertAlign w:val="baseline"/>
                <w:lang w:val="en-US" w:eastAsia="zh-CN"/>
              </w:rPr>
            </w:pPr>
          </w:p>
        </w:tc>
        <w:tc>
          <w:tcPr>
            <w:tcW w:w="1468" w:type="dxa"/>
            <w:vAlign w:val="center"/>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监管账号</w:t>
            </w:r>
          </w:p>
        </w:tc>
        <w:tc>
          <w:tcPr>
            <w:tcW w:w="6984" w:type="dxa"/>
            <w:gridSpan w:val="3"/>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b w:val="0"/>
                <w:color w:val="0125FD"/>
                <w:kern w:val="2"/>
                <w:sz w:val="28"/>
                <w:szCs w:val="28"/>
                <w:lang w:val="en-US" w:eastAsia="zh-CN" w:bidi="ar-SA"/>
              </w:rPr>
            </w:pPr>
            <w:r>
              <w:rPr>
                <w:rFonts w:hint="eastAsia" w:ascii="仿宋_GB2312" w:hAnsi="仿宋_GB2312" w:eastAsia="仿宋_GB2312" w:cs="仿宋_GB2312"/>
                <w:b w:val="0"/>
                <w:color w:val="0125FD"/>
                <w:kern w:val="2"/>
                <w:sz w:val="28"/>
                <w:szCs w:val="28"/>
                <w:lang w:val="en-US" w:eastAsia="zh-CN" w:bidi="ar-SA"/>
              </w:rPr>
              <w:t>16***********8888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5" w:type="dxa"/>
            <w:vMerge w:val="restart"/>
            <w:vAlign w:val="center"/>
          </w:tcPr>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2</w:t>
            </w:r>
          </w:p>
        </w:tc>
        <w:tc>
          <w:tcPr>
            <w:tcW w:w="1468" w:type="dxa"/>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b w:val="0"/>
                <w:bCs/>
                <w:kern w:val="44"/>
                <w:sz w:val="28"/>
                <w:szCs w:val="28"/>
                <w:vertAlign w:val="baseline"/>
                <w:lang w:val="en-US" w:eastAsia="zh-CN" w:bidi="ar-SA"/>
              </w:rPr>
            </w:pPr>
            <w:r>
              <w:rPr>
                <w:rFonts w:hint="eastAsia" w:ascii="仿宋_GB2312" w:hAnsi="仿宋_GB2312" w:eastAsia="仿宋_GB2312" w:cs="仿宋_GB2312"/>
                <w:b w:val="0"/>
                <w:bCs/>
                <w:sz w:val="28"/>
                <w:szCs w:val="28"/>
                <w:vertAlign w:val="baseline"/>
                <w:lang w:val="en-US" w:eastAsia="zh-CN"/>
              </w:rPr>
              <w:t>项目名称</w:t>
            </w:r>
          </w:p>
        </w:tc>
        <w:tc>
          <w:tcPr>
            <w:tcW w:w="6984" w:type="dxa"/>
            <w:gridSpan w:val="3"/>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left"/>
              <w:textAlignment w:val="auto"/>
              <w:rPr>
                <w:rFonts w:hint="default" w:ascii="仿宋_GB2312" w:hAnsi="仿宋_GB2312" w:eastAsia="仿宋_GB2312" w:cs="仿宋_GB2312"/>
                <w:b w:val="0"/>
                <w:color w:val="0125FD"/>
                <w:kern w:val="2"/>
                <w:sz w:val="28"/>
                <w:szCs w:val="28"/>
                <w:lang w:val="en-US" w:eastAsia="zh-CN" w:bidi="ar-SA"/>
              </w:rPr>
            </w:pPr>
            <w:r>
              <w:rPr>
                <w:rFonts w:hint="eastAsia" w:ascii="仿宋_GB2312" w:hAnsi="仿宋_GB2312" w:eastAsia="仿宋_GB2312" w:cs="仿宋_GB2312"/>
                <w:b w:val="0"/>
                <w:color w:val="0125FD"/>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5" w:type="dxa"/>
            <w:vMerge w:val="continue"/>
            <w:vAlign w:val="top"/>
          </w:tcPr>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仿宋_GB2312" w:hAnsi="仿宋_GB2312" w:eastAsia="仿宋_GB2312" w:cs="仿宋_GB2312"/>
                <w:sz w:val="28"/>
                <w:szCs w:val="28"/>
                <w:vertAlign w:val="baseline"/>
                <w:lang w:val="en-US" w:eastAsia="zh-CN"/>
              </w:rPr>
            </w:pPr>
          </w:p>
        </w:tc>
        <w:tc>
          <w:tcPr>
            <w:tcW w:w="1468" w:type="dxa"/>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b w:val="0"/>
                <w:bCs/>
                <w:kern w:val="44"/>
                <w:sz w:val="28"/>
                <w:szCs w:val="28"/>
                <w:vertAlign w:val="baseline"/>
                <w:lang w:val="en-US" w:eastAsia="zh-CN" w:bidi="ar-SA"/>
              </w:rPr>
            </w:pPr>
            <w:r>
              <w:rPr>
                <w:rFonts w:hint="eastAsia" w:ascii="仿宋_GB2312" w:hAnsi="仿宋_GB2312" w:eastAsia="仿宋_GB2312" w:cs="仿宋_GB2312"/>
                <w:b w:val="0"/>
                <w:bCs/>
                <w:sz w:val="28"/>
                <w:szCs w:val="28"/>
                <w:vertAlign w:val="baseline"/>
                <w:lang w:val="en-US" w:eastAsia="zh-CN"/>
              </w:rPr>
              <w:t>项目地址</w:t>
            </w:r>
          </w:p>
        </w:tc>
        <w:tc>
          <w:tcPr>
            <w:tcW w:w="6984" w:type="dxa"/>
            <w:gridSpan w:val="3"/>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left"/>
              <w:textAlignment w:val="auto"/>
              <w:rPr>
                <w:rFonts w:hint="default" w:ascii="仿宋_GB2312" w:hAnsi="仿宋_GB2312" w:eastAsia="仿宋_GB2312" w:cs="仿宋_GB2312"/>
                <w:b w:val="0"/>
                <w:color w:val="0125FD"/>
                <w:kern w:val="2"/>
                <w:sz w:val="28"/>
                <w:szCs w:val="28"/>
                <w:lang w:val="en-US" w:eastAsia="zh-CN" w:bidi="ar-SA"/>
              </w:rPr>
            </w:pPr>
            <w:r>
              <w:rPr>
                <w:rFonts w:hint="eastAsia" w:ascii="仿宋_GB2312" w:hAnsi="仿宋_GB2312" w:eastAsia="仿宋_GB2312" w:cs="仿宋_GB2312"/>
                <w:b w:val="0"/>
                <w:color w:val="0125FD"/>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5" w:type="dxa"/>
            <w:vMerge w:val="continue"/>
            <w:vAlign w:val="top"/>
          </w:tcPr>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仿宋_GB2312" w:hAnsi="仿宋_GB2312" w:eastAsia="仿宋_GB2312" w:cs="仿宋_GB2312"/>
                <w:sz w:val="28"/>
                <w:szCs w:val="28"/>
                <w:vertAlign w:val="baseline"/>
                <w:lang w:val="en-US" w:eastAsia="zh-CN"/>
              </w:rPr>
            </w:pPr>
          </w:p>
        </w:tc>
        <w:tc>
          <w:tcPr>
            <w:tcW w:w="1468" w:type="dxa"/>
            <w:vAlign w:val="center"/>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b w:val="0"/>
                <w:bCs/>
                <w:kern w:val="44"/>
                <w:sz w:val="21"/>
                <w:szCs w:val="21"/>
                <w:vertAlign w:val="baseline"/>
                <w:lang w:val="en-US" w:eastAsia="zh-CN" w:bidi="ar-SA"/>
              </w:rPr>
            </w:pPr>
            <w:r>
              <w:rPr>
                <w:rFonts w:hint="eastAsia" w:ascii="仿宋_GB2312" w:hAnsi="仿宋_GB2312" w:eastAsia="仿宋_GB2312" w:cs="仿宋_GB2312"/>
                <w:b w:val="0"/>
                <w:bCs/>
                <w:sz w:val="28"/>
                <w:szCs w:val="28"/>
                <w:vertAlign w:val="baseline"/>
                <w:lang w:val="en-US" w:eastAsia="zh-CN"/>
              </w:rPr>
              <w:t>监管银行</w:t>
            </w:r>
          </w:p>
        </w:tc>
        <w:tc>
          <w:tcPr>
            <w:tcW w:w="6984" w:type="dxa"/>
            <w:gridSpan w:val="3"/>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left"/>
              <w:textAlignment w:val="auto"/>
              <w:rPr>
                <w:rFonts w:hint="default" w:ascii="仿宋_GB2312" w:hAnsi="仿宋_GB2312" w:eastAsia="仿宋_GB2312" w:cs="仿宋_GB2312"/>
                <w:b w:val="0"/>
                <w:color w:val="0125FD"/>
                <w:kern w:val="2"/>
                <w:sz w:val="28"/>
                <w:szCs w:val="28"/>
                <w:lang w:val="en-US" w:eastAsia="zh-CN" w:bidi="ar-SA"/>
              </w:rPr>
            </w:pPr>
            <w:r>
              <w:rPr>
                <w:rFonts w:hint="eastAsia" w:ascii="仿宋_GB2312" w:hAnsi="仿宋_GB2312" w:eastAsia="仿宋_GB2312" w:cs="仿宋_GB2312"/>
                <w:b w:val="0"/>
                <w:color w:val="0125FD"/>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5" w:type="dxa"/>
            <w:vMerge w:val="continue"/>
            <w:vAlign w:val="top"/>
          </w:tcPr>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仿宋_GB2312" w:hAnsi="仿宋_GB2312" w:eastAsia="仿宋_GB2312" w:cs="仿宋_GB2312"/>
                <w:sz w:val="28"/>
                <w:szCs w:val="28"/>
                <w:vertAlign w:val="baseline"/>
                <w:lang w:val="en-US" w:eastAsia="zh-CN"/>
              </w:rPr>
            </w:pPr>
          </w:p>
        </w:tc>
        <w:tc>
          <w:tcPr>
            <w:tcW w:w="1468" w:type="dxa"/>
            <w:vAlign w:val="center"/>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b w:val="0"/>
                <w:bCs/>
                <w:kern w:val="44"/>
                <w:sz w:val="21"/>
                <w:szCs w:val="21"/>
                <w:vertAlign w:val="baseline"/>
                <w:lang w:val="en-US" w:eastAsia="zh-CN" w:bidi="ar-SA"/>
              </w:rPr>
            </w:pPr>
            <w:r>
              <w:rPr>
                <w:rFonts w:hint="eastAsia" w:ascii="仿宋_GB2312" w:hAnsi="仿宋_GB2312" w:eastAsia="仿宋_GB2312" w:cs="仿宋_GB2312"/>
                <w:b w:val="0"/>
                <w:bCs/>
                <w:sz w:val="28"/>
                <w:szCs w:val="28"/>
                <w:vertAlign w:val="baseline"/>
                <w:lang w:val="en-US" w:eastAsia="zh-CN"/>
              </w:rPr>
              <w:t>监管账号</w:t>
            </w:r>
          </w:p>
        </w:tc>
        <w:tc>
          <w:tcPr>
            <w:tcW w:w="6984" w:type="dxa"/>
            <w:gridSpan w:val="3"/>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left"/>
              <w:textAlignment w:val="auto"/>
              <w:rPr>
                <w:rFonts w:hint="default" w:ascii="仿宋_GB2312" w:hAnsi="仿宋_GB2312" w:eastAsia="仿宋_GB2312" w:cs="仿宋_GB2312"/>
                <w:b w:val="0"/>
                <w:color w:val="0125FD"/>
                <w:kern w:val="2"/>
                <w:sz w:val="28"/>
                <w:szCs w:val="28"/>
                <w:lang w:val="en-US" w:eastAsia="zh-CN" w:bidi="ar-SA"/>
              </w:rPr>
            </w:pPr>
            <w:r>
              <w:rPr>
                <w:rFonts w:hint="eastAsia" w:ascii="仿宋_GB2312" w:hAnsi="仿宋_GB2312" w:eastAsia="仿宋_GB2312" w:cs="仿宋_GB2312"/>
                <w:b w:val="0"/>
                <w:color w:val="0125FD"/>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5" w:type="dxa"/>
            <w:vMerge w:val="restart"/>
            <w:vAlign w:val="center"/>
          </w:tcPr>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仿宋_GB2312" w:hAnsi="仿宋_GB2312" w:eastAsia="仿宋_GB2312" w:cs="仿宋_GB2312"/>
                <w:b w:val="0"/>
                <w:bCs/>
                <w:sz w:val="28"/>
                <w:szCs w:val="28"/>
                <w:vertAlign w:val="baseline"/>
                <w:lang w:val="en-US" w:eastAsia="zh-CN"/>
              </w:rPr>
            </w:pPr>
            <w:bookmarkStart w:id="0" w:name="_GoBack" w:colFirst="1" w:colLast="3"/>
            <w:r>
              <w:rPr>
                <w:rFonts w:hint="eastAsia" w:ascii="仿宋_GB2312" w:hAnsi="仿宋_GB2312" w:eastAsia="仿宋_GB2312" w:cs="仿宋_GB2312"/>
                <w:b w:val="0"/>
                <w:bCs/>
                <w:sz w:val="28"/>
                <w:szCs w:val="28"/>
                <w:vertAlign w:val="baseline"/>
                <w:lang w:val="en-US" w:eastAsia="zh-CN"/>
              </w:rPr>
              <w:t>3</w:t>
            </w:r>
          </w:p>
        </w:tc>
        <w:tc>
          <w:tcPr>
            <w:tcW w:w="1468" w:type="dxa"/>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b w:val="0"/>
                <w:bCs/>
                <w:kern w:val="44"/>
                <w:sz w:val="28"/>
                <w:szCs w:val="28"/>
                <w:vertAlign w:val="baseline"/>
                <w:lang w:val="en-US" w:eastAsia="zh-CN" w:bidi="ar-SA"/>
              </w:rPr>
            </w:pPr>
            <w:r>
              <w:rPr>
                <w:rFonts w:hint="eastAsia" w:ascii="仿宋_GB2312" w:hAnsi="仿宋_GB2312" w:eastAsia="仿宋_GB2312" w:cs="仿宋_GB2312"/>
                <w:b w:val="0"/>
                <w:bCs/>
                <w:sz w:val="28"/>
                <w:szCs w:val="28"/>
                <w:vertAlign w:val="baseline"/>
                <w:lang w:val="en-US" w:eastAsia="zh-CN"/>
              </w:rPr>
              <w:t>项目名称</w:t>
            </w:r>
          </w:p>
        </w:tc>
        <w:tc>
          <w:tcPr>
            <w:tcW w:w="6984" w:type="dxa"/>
            <w:gridSpan w:val="3"/>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b w:val="0"/>
                <w:color w:val="0125FD"/>
                <w:kern w:val="2"/>
                <w:sz w:val="28"/>
                <w:szCs w:val="28"/>
                <w:lang w:val="en-US" w:eastAsia="zh-CN" w:bidi="ar-SA"/>
              </w:rPr>
            </w:pPr>
            <w:r>
              <w:rPr>
                <w:rFonts w:hint="eastAsia" w:ascii="仿宋_GB2312" w:hAnsi="仿宋_GB2312" w:eastAsia="仿宋_GB2312" w:cs="仿宋_GB2312"/>
                <w:b w:val="0"/>
                <w:color w:val="0125FD"/>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5" w:type="dxa"/>
            <w:vMerge w:val="continue"/>
            <w:tcBorders/>
            <w:vAlign w:val="top"/>
          </w:tcPr>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仿宋_GB2312" w:hAnsi="仿宋_GB2312" w:eastAsia="仿宋_GB2312" w:cs="仿宋_GB2312"/>
                <w:sz w:val="28"/>
                <w:szCs w:val="28"/>
                <w:vertAlign w:val="baseline"/>
                <w:lang w:val="en-US" w:eastAsia="zh-CN"/>
              </w:rPr>
            </w:pPr>
          </w:p>
        </w:tc>
        <w:tc>
          <w:tcPr>
            <w:tcW w:w="1468" w:type="dxa"/>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b w:val="0"/>
                <w:bCs/>
                <w:kern w:val="44"/>
                <w:sz w:val="28"/>
                <w:szCs w:val="28"/>
                <w:vertAlign w:val="baseline"/>
                <w:lang w:val="en-US" w:eastAsia="zh-CN" w:bidi="ar-SA"/>
              </w:rPr>
            </w:pPr>
            <w:r>
              <w:rPr>
                <w:rFonts w:hint="eastAsia" w:ascii="仿宋_GB2312" w:hAnsi="仿宋_GB2312" w:eastAsia="仿宋_GB2312" w:cs="仿宋_GB2312"/>
                <w:b w:val="0"/>
                <w:bCs/>
                <w:sz w:val="28"/>
                <w:szCs w:val="28"/>
                <w:vertAlign w:val="baseline"/>
                <w:lang w:val="en-US" w:eastAsia="zh-CN"/>
              </w:rPr>
              <w:t>项目地址</w:t>
            </w:r>
          </w:p>
        </w:tc>
        <w:tc>
          <w:tcPr>
            <w:tcW w:w="6984" w:type="dxa"/>
            <w:gridSpan w:val="3"/>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b w:val="0"/>
                <w:color w:val="0125FD"/>
                <w:kern w:val="2"/>
                <w:sz w:val="28"/>
                <w:szCs w:val="28"/>
                <w:lang w:val="en-US" w:eastAsia="zh-CN" w:bidi="ar-SA"/>
              </w:rPr>
            </w:pPr>
            <w:r>
              <w:rPr>
                <w:rFonts w:hint="eastAsia" w:ascii="仿宋_GB2312" w:hAnsi="仿宋_GB2312" w:eastAsia="仿宋_GB2312" w:cs="仿宋_GB2312"/>
                <w:b w:val="0"/>
                <w:color w:val="0125FD"/>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5" w:type="dxa"/>
            <w:vMerge w:val="continue"/>
            <w:tcBorders/>
            <w:vAlign w:val="top"/>
          </w:tcPr>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仿宋_GB2312" w:hAnsi="仿宋_GB2312" w:eastAsia="仿宋_GB2312" w:cs="仿宋_GB2312"/>
                <w:sz w:val="28"/>
                <w:szCs w:val="28"/>
                <w:vertAlign w:val="baseline"/>
                <w:lang w:val="en-US" w:eastAsia="zh-CN"/>
              </w:rPr>
            </w:pPr>
          </w:p>
        </w:tc>
        <w:tc>
          <w:tcPr>
            <w:tcW w:w="1468" w:type="dxa"/>
            <w:vAlign w:val="center"/>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b w:val="0"/>
                <w:bCs/>
                <w:kern w:val="44"/>
                <w:sz w:val="21"/>
                <w:szCs w:val="21"/>
                <w:vertAlign w:val="baseline"/>
                <w:lang w:val="en-US" w:eastAsia="zh-CN" w:bidi="ar-SA"/>
              </w:rPr>
            </w:pPr>
            <w:r>
              <w:rPr>
                <w:rFonts w:hint="eastAsia" w:ascii="仿宋_GB2312" w:hAnsi="仿宋_GB2312" w:eastAsia="仿宋_GB2312" w:cs="仿宋_GB2312"/>
                <w:b w:val="0"/>
                <w:bCs/>
                <w:sz w:val="28"/>
                <w:szCs w:val="28"/>
                <w:vertAlign w:val="baseline"/>
                <w:lang w:val="en-US" w:eastAsia="zh-CN"/>
              </w:rPr>
              <w:t>监管银行</w:t>
            </w:r>
          </w:p>
        </w:tc>
        <w:tc>
          <w:tcPr>
            <w:tcW w:w="6984" w:type="dxa"/>
            <w:gridSpan w:val="3"/>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b w:val="0"/>
                <w:color w:val="0125FD"/>
                <w:kern w:val="2"/>
                <w:sz w:val="28"/>
                <w:szCs w:val="28"/>
                <w:lang w:val="en-US" w:eastAsia="zh-CN" w:bidi="ar-SA"/>
              </w:rPr>
            </w:pPr>
            <w:r>
              <w:rPr>
                <w:rFonts w:hint="eastAsia" w:ascii="仿宋_GB2312" w:hAnsi="仿宋_GB2312" w:eastAsia="仿宋_GB2312" w:cs="仿宋_GB2312"/>
                <w:b w:val="0"/>
                <w:color w:val="0125FD"/>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5" w:type="dxa"/>
            <w:vMerge w:val="continue"/>
            <w:tcBorders/>
            <w:vAlign w:val="top"/>
          </w:tcPr>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仿宋_GB2312" w:hAnsi="仿宋_GB2312" w:eastAsia="仿宋_GB2312" w:cs="仿宋_GB2312"/>
                <w:sz w:val="28"/>
                <w:szCs w:val="28"/>
                <w:vertAlign w:val="baseline"/>
                <w:lang w:val="en-US" w:eastAsia="zh-CN"/>
              </w:rPr>
            </w:pPr>
          </w:p>
        </w:tc>
        <w:tc>
          <w:tcPr>
            <w:tcW w:w="1468" w:type="dxa"/>
            <w:vAlign w:val="center"/>
          </w:tcPr>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b w:val="0"/>
                <w:bCs/>
                <w:kern w:val="44"/>
                <w:sz w:val="21"/>
                <w:szCs w:val="21"/>
                <w:vertAlign w:val="baseline"/>
                <w:lang w:val="en-US" w:eastAsia="zh-CN" w:bidi="ar-SA"/>
              </w:rPr>
            </w:pPr>
            <w:r>
              <w:rPr>
                <w:rFonts w:hint="eastAsia" w:ascii="仿宋_GB2312" w:hAnsi="仿宋_GB2312" w:eastAsia="仿宋_GB2312" w:cs="仿宋_GB2312"/>
                <w:b w:val="0"/>
                <w:bCs/>
                <w:sz w:val="28"/>
                <w:szCs w:val="28"/>
                <w:vertAlign w:val="baseline"/>
                <w:lang w:val="en-US" w:eastAsia="zh-CN"/>
              </w:rPr>
              <w:t>监管账号</w:t>
            </w:r>
          </w:p>
        </w:tc>
        <w:tc>
          <w:tcPr>
            <w:tcW w:w="6984" w:type="dxa"/>
            <w:gridSpan w:val="3"/>
            <w:vAlign w:val="top"/>
          </w:tcPr>
          <w:p>
            <w:pPr>
              <w:pStyle w:val="2"/>
              <w:keepNext/>
              <w:keepLines/>
              <w:pageBreakBefore w:val="0"/>
              <w:widowControl w:val="0"/>
              <w:kinsoku/>
              <w:wordWrap/>
              <w:overflowPunct/>
              <w:topLinePunct w:val="0"/>
              <w:autoSpaceDE/>
              <w:autoSpaceDN/>
              <w:bidi w:val="0"/>
              <w:adjustRightInd/>
              <w:snapToGrid/>
              <w:spacing w:before="0" w:after="0" w:line="520" w:lineRule="exact"/>
              <w:jc w:val="left"/>
              <w:textAlignment w:val="auto"/>
              <w:rPr>
                <w:rFonts w:hint="eastAsia" w:ascii="仿宋_GB2312" w:hAnsi="仿宋_GB2312" w:eastAsia="仿宋_GB2312" w:cs="仿宋_GB2312"/>
                <w:b w:val="0"/>
                <w:color w:val="0125FD"/>
                <w:kern w:val="2"/>
                <w:sz w:val="28"/>
                <w:szCs w:val="28"/>
                <w:lang w:val="en-US" w:eastAsia="zh-CN" w:bidi="ar-SA"/>
              </w:rPr>
            </w:pPr>
            <w:r>
              <w:rPr>
                <w:rFonts w:hint="eastAsia" w:ascii="仿宋_GB2312" w:hAnsi="仿宋_GB2312" w:eastAsia="仿宋_GB2312" w:cs="仿宋_GB2312"/>
                <w:b w:val="0"/>
                <w:color w:val="0125FD"/>
                <w:kern w:val="2"/>
                <w:sz w:val="28"/>
                <w:szCs w:val="28"/>
                <w:lang w:val="en-US" w:eastAsia="zh-CN" w:bidi="ar-SA"/>
              </w:rPr>
              <w:t>***</w:t>
            </w:r>
          </w:p>
        </w:tc>
      </w:tr>
      <w:bookmarkEnd w:id="0"/>
    </w:tbl>
    <w:p>
      <w:pPr>
        <w:rPr>
          <w:rFonts w:hint="default"/>
          <w:lang w:val="en-US"/>
        </w:rPr>
      </w:pPr>
      <w:r>
        <w:rPr>
          <w:rFonts w:hint="eastAsia" w:ascii="仿宋_GB2312" w:hAnsi="仿宋_GB2312" w:eastAsia="仿宋_GB2312" w:cs="仿宋_GB2312"/>
          <w:b w:val="0"/>
          <w:bCs/>
          <w:sz w:val="22"/>
          <w:szCs w:val="22"/>
          <w:vertAlign w:val="baseline"/>
          <w:lang w:val="en-US" w:eastAsia="zh-CN"/>
        </w:rPr>
        <w:t>说明：1.备案表一式两份。住房公积金管理中心管理部收到后加盖业务用章确认，住房公积金管理中心和房地产开发企业各持一份。2.本表载明的监管账户信息应与对应的《河南省商品房预售许可证》载明的监管账户信息一致。3.支持提取住房公积金支付购房首付款的新建预售商品住房项目，房地产开发企业应每有数据更新及时报备至住房公积金管理中心管理部（含电子版）。</w:t>
      </w:r>
    </w:p>
    <w:sectPr>
      <w:pgSz w:w="11906" w:h="16838"/>
      <w:pgMar w:top="1701"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251A196D"/>
    <w:rsid w:val="13812730"/>
    <w:rsid w:val="246031BB"/>
    <w:rsid w:val="251A1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2024-01-21T09:02:00Z</dcterms:created>
  <dc:creator>珂</dc:creator>
  <cp:lastModifiedBy>珂</cp:lastModifiedBy>
  <dcterms:modified xsi:type="dcterms:W3CDTF">2024-01-21T09:33:08Z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668F843A731C4CF6A1DF018D4B686CB3_11</vt:lpwstr>
  </property>
</Properties>
</file>