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附件4：</w:t>
      </w:r>
    </w:p>
    <w:p>
      <w:pPr>
        <w:pStyle w:val="2"/>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eastAsiaTheme="minorEastAsia" w:cstheme="minorBidi"/>
          <w:b w:val="0"/>
          <w:bCs w:val="0"/>
          <w:color w:val="auto"/>
          <w:kern w:val="2"/>
          <w:sz w:val="44"/>
          <w:szCs w:val="44"/>
          <w:lang w:val="en-US" w:eastAsia="zh-CN" w:bidi="ar-SA"/>
        </w:rPr>
      </w:pPr>
      <w:bookmarkStart w:id="0" w:name="_GoBack"/>
      <w:r>
        <w:rPr>
          <w:rFonts w:hint="eastAsia" w:ascii="宋体" w:hAnsi="宋体" w:eastAsiaTheme="minorEastAsia" w:cstheme="minorBidi"/>
          <w:b w:val="0"/>
          <w:bCs w:val="0"/>
          <w:color w:val="auto"/>
          <w:kern w:val="2"/>
          <w:sz w:val="32"/>
          <w:szCs w:val="32"/>
          <w:lang w:val="en-US" w:eastAsia="zh-CN" w:bidi="ar-SA"/>
        </w:rPr>
        <w:t>不动产登记信息协查授权查询结果告知单</w:t>
      </w:r>
    </w:p>
    <w:bookmarkEnd w:id="0"/>
    <w:p>
      <w:pPr>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rPr>
        <w:t>洛阳市住房公积金管理中心：</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根据《洛阳市人民政府办公室关于清理规范一批市政府部门证明事项的通知》（洛政办〔2017〕90号）和</w:t>
      </w:r>
      <w:r>
        <w:rPr>
          <w:rFonts w:ascii="仿宋" w:hAnsi="仿宋" w:eastAsia="仿宋"/>
          <w:color w:val="auto"/>
          <w:sz w:val="24"/>
        </w:rPr>
        <w:t>市政府协调</w:t>
      </w:r>
      <w:r>
        <w:rPr>
          <w:rFonts w:hint="eastAsia" w:ascii="仿宋" w:hAnsi="仿宋" w:eastAsia="仿宋"/>
          <w:color w:val="auto"/>
          <w:sz w:val="24"/>
        </w:rPr>
        <w:t>会议精神，特书面授权：贵单位可采取</w:t>
      </w:r>
      <w:r>
        <w:rPr>
          <w:rFonts w:ascii="仿宋" w:hAnsi="仿宋" w:eastAsia="仿宋"/>
          <w:color w:val="auto"/>
          <w:sz w:val="24"/>
        </w:rPr>
        <w:t>部门间</w:t>
      </w:r>
      <w:r>
        <w:rPr>
          <w:rFonts w:hint="eastAsia" w:ascii="仿宋" w:hAnsi="仿宋" w:eastAsia="仿宋"/>
          <w:color w:val="auto"/>
          <w:sz w:val="24"/>
        </w:rPr>
        <w:t>的</w:t>
      </w:r>
      <w:r>
        <w:rPr>
          <w:rFonts w:ascii="仿宋" w:hAnsi="仿宋" w:eastAsia="仿宋"/>
          <w:color w:val="auto"/>
          <w:sz w:val="24"/>
        </w:rPr>
        <w:t>数据信息协查方式，</w:t>
      </w:r>
      <w:r>
        <w:rPr>
          <w:rFonts w:hint="eastAsia" w:ascii="仿宋" w:hAnsi="仿宋" w:eastAsia="仿宋"/>
          <w:color w:val="auto"/>
          <w:sz w:val="24"/>
        </w:rPr>
        <w:t>通过</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val="en-US" w:eastAsia="zh-CN"/>
        </w:rPr>
        <w:t>服务中心</w:t>
      </w:r>
      <w:r>
        <w:rPr>
          <w:rFonts w:hint="eastAsia" w:ascii="仿宋" w:hAnsi="仿宋" w:eastAsia="仿宋"/>
          <w:color w:val="auto"/>
          <w:sz w:val="24"/>
        </w:rPr>
        <w:t>信息系统查询本人及</w:t>
      </w:r>
      <w:r>
        <w:rPr>
          <w:rFonts w:ascii="仿宋" w:hAnsi="仿宋" w:eastAsia="仿宋"/>
          <w:color w:val="auto"/>
          <w:sz w:val="24"/>
        </w:rPr>
        <w:t>家庭成员</w:t>
      </w:r>
      <w:r>
        <w:rPr>
          <w:rFonts w:hint="eastAsia" w:ascii="仿宋" w:hAnsi="仿宋" w:eastAsia="仿宋"/>
          <w:color w:val="auto"/>
          <w:sz w:val="24"/>
        </w:rPr>
        <w:t>的</w:t>
      </w:r>
      <w:r>
        <w:rPr>
          <w:rFonts w:hint="eastAsia" w:ascii="仿宋" w:hAnsi="仿宋" w:eastAsia="仿宋"/>
          <w:color w:val="auto"/>
          <w:sz w:val="24"/>
          <w:u w:val="single"/>
        </w:rPr>
        <w:t>不动产登记</w:t>
      </w:r>
      <w:r>
        <w:rPr>
          <w:rFonts w:hint="eastAsia" w:ascii="仿宋" w:hAnsi="仿宋" w:eastAsia="仿宋"/>
          <w:color w:val="auto"/>
          <w:sz w:val="24"/>
        </w:rPr>
        <w:t>信息记录，并向</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val="en-US" w:eastAsia="zh-CN"/>
        </w:rPr>
        <w:t>服务中心</w:t>
      </w:r>
      <w:r>
        <w:rPr>
          <w:rFonts w:hint="eastAsia" w:ascii="仿宋" w:hAnsi="仿宋" w:eastAsia="仿宋"/>
          <w:color w:val="auto"/>
          <w:sz w:val="24"/>
        </w:rPr>
        <w:t>反馈在</w:t>
      </w:r>
      <w:r>
        <w:rPr>
          <w:rFonts w:hint="eastAsia" w:ascii="仿宋" w:hAnsi="仿宋" w:eastAsia="仿宋"/>
          <w:color w:val="auto"/>
          <w:sz w:val="24"/>
          <w:u w:val="single"/>
        </w:rPr>
        <w:t>住房公积金</w:t>
      </w:r>
      <w:r>
        <w:rPr>
          <w:rFonts w:hint="eastAsia" w:ascii="仿宋" w:hAnsi="仿宋" w:eastAsia="仿宋"/>
          <w:color w:val="auto"/>
          <w:sz w:val="24"/>
        </w:rPr>
        <w:t>业务办理过程中形成的记录，本人不提出任何异议。由此产生的</w:t>
      </w:r>
      <w:r>
        <w:rPr>
          <w:rFonts w:ascii="仿宋" w:hAnsi="仿宋" w:eastAsia="仿宋"/>
          <w:color w:val="auto"/>
          <w:sz w:val="24"/>
        </w:rPr>
        <w:t>法律纠纷，由本人承担。</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其授权期限为：自本人向贵单位申请办理</w:t>
      </w:r>
      <w:r>
        <w:rPr>
          <w:rFonts w:hint="eastAsia" w:ascii="仿宋" w:hAnsi="仿宋" w:eastAsia="仿宋"/>
          <w:color w:val="auto"/>
          <w:sz w:val="24"/>
          <w:u w:val="single"/>
          <w:lang w:eastAsia="zh-CN"/>
        </w:rPr>
        <w:t>商转公</w:t>
      </w:r>
      <w:r>
        <w:rPr>
          <w:rFonts w:hint="eastAsia" w:ascii="仿宋" w:hAnsi="仿宋" w:eastAsia="仿宋"/>
          <w:color w:val="auto"/>
          <w:sz w:val="24"/>
          <w:u w:val="single"/>
        </w:rPr>
        <w:t>贷款</w:t>
      </w:r>
      <w:r>
        <w:rPr>
          <w:rFonts w:hint="eastAsia" w:ascii="仿宋" w:hAnsi="仿宋" w:eastAsia="仿宋"/>
          <w:color w:val="auto"/>
          <w:sz w:val="24"/>
        </w:rPr>
        <w:t>业务之日起至该业务终结之日止。请贵单位及其工作人员在工作中为知悉的个人及</w:t>
      </w:r>
      <w:r>
        <w:rPr>
          <w:rFonts w:ascii="仿宋" w:hAnsi="仿宋" w:eastAsia="仿宋"/>
          <w:color w:val="auto"/>
          <w:sz w:val="24"/>
        </w:rPr>
        <w:t>家庭成员的</w:t>
      </w:r>
      <w:r>
        <w:rPr>
          <w:rFonts w:hint="eastAsia" w:ascii="仿宋" w:hAnsi="仿宋" w:eastAsia="仿宋"/>
          <w:color w:val="auto"/>
          <w:sz w:val="24"/>
          <w:u w:val="single"/>
        </w:rPr>
        <w:t>不动产</w:t>
      </w:r>
      <w:r>
        <w:rPr>
          <w:rFonts w:hint="eastAsia" w:ascii="仿宋" w:hAnsi="仿宋" w:eastAsia="仿宋"/>
          <w:color w:val="auto"/>
          <w:sz w:val="24"/>
        </w:rPr>
        <w:t>登记信息保密。</w:t>
      </w:r>
    </w:p>
    <w:p>
      <w:pPr>
        <w:spacing w:line="580" w:lineRule="exact"/>
        <w:ind w:firstLine="640"/>
        <w:jc w:val="left"/>
        <w:rPr>
          <w:rFonts w:hint="eastAsia" w:ascii="仿宋" w:hAnsi="仿宋" w:eastAsia="仿宋"/>
          <w:color w:val="auto"/>
          <w:sz w:val="24"/>
        </w:rPr>
      </w:pPr>
      <w:r>
        <w:rPr>
          <w:rFonts w:hint="eastAsia" w:ascii="仿宋" w:hAnsi="仿宋" w:eastAsia="仿宋"/>
          <w:color w:val="auto"/>
          <w:sz w:val="24"/>
        </w:rPr>
        <w:t>特此授权。</w:t>
      </w:r>
    </w:p>
    <w:p>
      <w:pPr>
        <w:wordWrap w:val="0"/>
        <w:spacing w:before="156" w:beforeLines="50"/>
        <w:ind w:firstLine="600" w:firstLineChars="250"/>
        <w:jc w:val="left"/>
        <w:rPr>
          <w:rFonts w:hint="eastAsia" w:ascii="仿宋" w:hAnsi="仿宋"/>
          <w:color w:val="auto"/>
          <w:sz w:val="24"/>
        </w:rPr>
      </w:pPr>
      <w:r>
        <w:rPr>
          <w:rFonts w:hint="eastAsia" w:ascii="仿宋" w:hAnsi="仿宋" w:eastAsia="仿宋"/>
          <w:color w:val="auto"/>
          <w:sz w:val="24"/>
        </w:rPr>
        <w:t>经</w:t>
      </w:r>
      <w:r>
        <w:rPr>
          <w:rFonts w:ascii="仿宋" w:hAnsi="仿宋" w:eastAsia="仿宋"/>
          <w:color w:val="auto"/>
          <w:sz w:val="24"/>
        </w:rPr>
        <w:t>部门间的数据信息协查，</w:t>
      </w:r>
      <w:r>
        <w:rPr>
          <w:rFonts w:hint="eastAsia" w:ascii="仿宋" w:hAnsi="仿宋" w:eastAsia="仿宋"/>
          <w:color w:val="auto"/>
          <w:sz w:val="24"/>
        </w:rPr>
        <w:t>以下查询结果仅作为住房公积金中心受理</w:t>
      </w:r>
      <w:r>
        <w:rPr>
          <w:rFonts w:hint="eastAsia" w:ascii="仿宋" w:hAnsi="仿宋" w:eastAsia="仿宋"/>
          <w:color w:val="auto"/>
          <w:sz w:val="24"/>
          <w:lang w:eastAsia="zh-CN"/>
        </w:rPr>
        <w:t>商转公</w:t>
      </w:r>
      <w:r>
        <w:rPr>
          <w:rFonts w:hint="eastAsia" w:ascii="仿宋" w:hAnsi="仿宋" w:eastAsia="仿宋"/>
          <w:color w:val="auto"/>
          <w:sz w:val="24"/>
        </w:rPr>
        <w:t>贷款业务的参考，不作为产权登记信息的唯一依据。</w:t>
      </w:r>
    </w:p>
    <w:p>
      <w:pPr>
        <w:wordWrap w:val="0"/>
        <w:spacing w:before="156" w:beforeLines="50"/>
        <w:ind w:firstLine="600" w:firstLineChars="250"/>
        <w:jc w:val="left"/>
        <w:rPr>
          <w:rFonts w:ascii="仿宋" w:hAnsi="仿宋"/>
          <w:color w:val="auto"/>
          <w:sz w:val="24"/>
        </w:rPr>
      </w:pPr>
    </w:p>
    <w:p>
      <w:pPr>
        <w:ind w:firstLine="480" w:firstLineChars="200"/>
        <w:jc w:val="left"/>
        <w:rPr>
          <w:rFonts w:hint="default" w:ascii="仿宋" w:hAnsi="仿宋" w:eastAsia="仿宋"/>
          <w:color w:val="auto"/>
          <w:sz w:val="24"/>
          <w:u w:val="none"/>
          <w:lang w:val="en-US" w:eastAsia="zh-CN"/>
        </w:rPr>
      </w:pPr>
      <w:r>
        <w:rPr>
          <w:rFonts w:hint="eastAsia" w:ascii="仿宋" w:hAnsi="仿宋" w:eastAsia="仿宋"/>
          <w:color w:val="auto"/>
          <w:sz w:val="24"/>
        </w:rPr>
        <w:t xml:space="preserve">授权人签字： </w:t>
      </w:r>
      <w:r>
        <w:rPr>
          <w:rFonts w:hint="eastAsia" w:ascii="仿宋" w:hAnsi="仿宋" w:eastAsia="仿宋"/>
          <w:color w:val="auto"/>
          <w:sz w:val="24"/>
          <w:u w:val="single"/>
        </w:rPr>
        <w:t xml:space="preserve">                                 </w:t>
      </w:r>
      <w:r>
        <w:rPr>
          <w:rFonts w:hint="eastAsia" w:ascii="仿宋" w:hAnsi="仿宋" w:eastAsia="仿宋"/>
          <w:color w:val="auto"/>
          <w:sz w:val="24"/>
          <w:u w:val="none"/>
          <w:lang w:val="en-US" w:eastAsia="zh-CN"/>
        </w:rPr>
        <w:t xml:space="preserve">        年  月  日</w:t>
      </w:r>
    </w:p>
    <w:p>
      <w:pPr>
        <w:ind w:firstLine="480" w:firstLineChars="200"/>
        <w:jc w:val="left"/>
        <w:rPr>
          <w:rFonts w:hint="eastAsia" w:ascii="仿宋" w:hAnsi="仿宋" w:eastAsia="仿宋"/>
          <w:color w:val="auto"/>
          <w:sz w:val="24"/>
          <w:u w:val="single"/>
        </w:rPr>
      </w:pP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05"/>
        <w:gridCol w:w="257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ascii="仿宋" w:hAnsi="仿宋" w:eastAsia="仿宋"/>
                <w:color w:val="auto"/>
                <w:sz w:val="32"/>
                <w:szCs w:val="32"/>
              </w:rPr>
            </w:pPr>
            <w:r>
              <w:rPr>
                <w:rFonts w:hint="eastAsia" w:ascii="仿宋" w:hAnsi="仿宋" w:eastAsia="仿宋"/>
                <w:color w:val="auto"/>
                <w:sz w:val="32"/>
                <w:szCs w:val="32"/>
              </w:rPr>
              <w:t>关系</w:t>
            </w:r>
          </w:p>
        </w:tc>
        <w:tc>
          <w:tcPr>
            <w:tcW w:w="1305"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姓名</w:t>
            </w:r>
          </w:p>
        </w:tc>
        <w:tc>
          <w:tcPr>
            <w:tcW w:w="2577"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身份证号</w:t>
            </w:r>
          </w:p>
        </w:tc>
        <w:tc>
          <w:tcPr>
            <w:tcW w:w="3360"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rPr>
                <w:rFonts w:ascii="仿宋" w:hAnsi="仿宋" w:eastAsia="仿宋"/>
                <w:color w:val="auto"/>
                <w:sz w:val="30"/>
                <w:szCs w:val="30"/>
              </w:rPr>
            </w:pPr>
            <w:r>
              <w:rPr>
                <w:rFonts w:hint="eastAsia" w:ascii="仿宋" w:hAnsi="仿宋" w:eastAsia="仿宋"/>
                <w:color w:val="auto"/>
                <w:sz w:val="30"/>
                <w:szCs w:val="30"/>
              </w:rPr>
              <w:t>申请人</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color w:val="auto"/>
                <w:sz w:val="32"/>
                <w:szCs w:val="32"/>
              </w:rPr>
            </w:pPr>
          </w:p>
        </w:tc>
        <w:tc>
          <w:tcPr>
            <w:tcW w:w="3360" w:type="dxa"/>
            <w:vMerge w:val="restart"/>
            <w:shd w:val="clear" w:color="auto" w:fill="auto"/>
            <w:noWrap w:val="0"/>
            <w:vAlign w:val="center"/>
          </w:tcPr>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both"/>
              <w:rPr>
                <w:rFonts w:hint="eastAsia" w:ascii="仿宋" w:hAnsi="仿宋" w:eastAsia="仿宋"/>
                <w:color w:val="auto"/>
                <w:sz w:val="24"/>
              </w:rPr>
            </w:pPr>
            <w:r>
              <w:rPr>
                <w:rFonts w:hint="eastAsia" w:ascii="仿宋" w:hAnsi="仿宋" w:eastAsia="仿宋"/>
                <w:color w:val="auto"/>
                <w:sz w:val="24"/>
              </w:rPr>
              <w:t>查询人签字：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配偶</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eastAsia="仿宋"/>
                <w:color w:val="auto"/>
                <w:sz w:val="32"/>
                <w:szCs w:val="32"/>
              </w:rPr>
            </w:pPr>
          </w:p>
        </w:tc>
        <w:tc>
          <w:tcPr>
            <w:tcW w:w="3360" w:type="dxa"/>
            <w:vMerge w:val="continue"/>
            <w:shd w:val="clear" w:color="auto" w:fill="auto"/>
            <w:noWrap w:val="0"/>
            <w:vAlign w:val="top"/>
          </w:tcPr>
          <w:p>
            <w:pP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子女</w:t>
            </w:r>
          </w:p>
        </w:tc>
        <w:tc>
          <w:tcPr>
            <w:tcW w:w="1305" w:type="dxa"/>
            <w:noWrap w:val="0"/>
            <w:vAlign w:val="top"/>
          </w:tcPr>
          <w:p>
            <w:pPr>
              <w:wordWrap w:val="0"/>
              <w:jc w:val="left"/>
              <w:rPr>
                <w:rFonts w:hint="eastAsia" w:ascii="仿宋" w:hAnsi="仿宋" w:eastAsia="仿宋"/>
                <w:color w:val="auto"/>
                <w:sz w:val="32"/>
                <w:szCs w:val="32"/>
              </w:rPr>
            </w:pPr>
          </w:p>
        </w:tc>
        <w:tc>
          <w:tcPr>
            <w:tcW w:w="2577" w:type="dxa"/>
            <w:noWrap w:val="0"/>
            <w:vAlign w:val="top"/>
          </w:tcPr>
          <w:p>
            <w:pPr>
              <w:wordWrap w:val="0"/>
              <w:jc w:val="left"/>
              <w:rPr>
                <w:rFonts w:hint="eastAsia" w:ascii="仿宋" w:hAnsi="仿宋" w:eastAsia="仿宋"/>
                <w:color w:val="auto"/>
                <w:sz w:val="32"/>
                <w:szCs w:val="32"/>
              </w:rPr>
            </w:pPr>
          </w:p>
        </w:tc>
        <w:tc>
          <w:tcPr>
            <w:tcW w:w="3360" w:type="dxa"/>
            <w:vMerge w:val="continue"/>
            <w:noWrap w:val="0"/>
            <w:vAlign w:val="top"/>
          </w:tcPr>
          <w:p>
            <w:pPr>
              <w:jc w:val="cente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ascii="仿宋" w:hAnsi="仿宋" w:eastAsia="仿宋"/>
                <w:color w:val="auto"/>
                <w:sz w:val="32"/>
                <w:szCs w:val="32"/>
              </w:rPr>
            </w:pPr>
          </w:p>
        </w:tc>
        <w:tc>
          <w:tcPr>
            <w:tcW w:w="1305" w:type="dxa"/>
            <w:noWrap w:val="0"/>
            <w:vAlign w:val="top"/>
          </w:tcPr>
          <w:p>
            <w:pPr>
              <w:wordWrap w:val="0"/>
              <w:jc w:val="left"/>
              <w:rPr>
                <w:rFonts w:ascii="仿宋" w:hAnsi="仿宋" w:eastAsia="仿宋"/>
                <w:color w:val="auto"/>
                <w:sz w:val="32"/>
                <w:szCs w:val="32"/>
              </w:rPr>
            </w:pPr>
          </w:p>
        </w:tc>
        <w:tc>
          <w:tcPr>
            <w:tcW w:w="2577" w:type="dxa"/>
            <w:noWrap w:val="0"/>
            <w:vAlign w:val="top"/>
          </w:tcPr>
          <w:p>
            <w:pPr>
              <w:wordWrap w:val="0"/>
              <w:jc w:val="left"/>
              <w:rPr>
                <w:rFonts w:ascii="仿宋" w:hAnsi="仿宋" w:eastAsia="仿宋"/>
                <w:color w:val="auto"/>
                <w:sz w:val="32"/>
                <w:szCs w:val="32"/>
              </w:rPr>
            </w:pPr>
          </w:p>
        </w:tc>
        <w:tc>
          <w:tcPr>
            <w:tcW w:w="3360" w:type="dxa"/>
            <w:vMerge w:val="continue"/>
            <w:noWrap w:val="0"/>
            <w:vAlign w:val="top"/>
          </w:tcPr>
          <w:p>
            <w:pPr>
              <w:wordWrap w:val="0"/>
              <w:jc w:val="left"/>
              <w:rPr>
                <w:rFonts w:ascii="仿宋" w:hAnsi="仿宋" w:eastAsia="仿宋"/>
                <w:color w:val="auto"/>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NzU0Y2JmYzgyNGI5MjA3M2RiNjU2MTAwZDk5NjUifQ=="/>
  </w:docVars>
  <w:rsids>
    <w:rsidRoot w:val="5ACC41EB"/>
    <w:rsid w:val="5ACC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2023-04-12T14:05:00Z</dcterms:created>
  <dc:creator>沐煦</dc:creator>
  <cp:lastModifiedBy>沐煦</cp:lastModifiedBy>
  <dcterms:modified xsi:type="dcterms:W3CDTF">2023-04-12T14:07:05Z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3F65BF7F35C94BD28AD6944AB12E6D29</vt:lpwstr>
  </property>
</Properties>
</file>