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ind w:firstLine="883" w:firstLineChars="200"/>
        <w:jc w:val="center"/>
        <w:rPr>
          <w:rFonts w:hint="eastAsia" w:ascii="宋体" w:hAnsi="宋体" w:cs="宋体"/>
          <w:b/>
          <w:bCs/>
          <w:sz w:val="44"/>
          <w:szCs w:val="44"/>
        </w:rPr>
      </w:pPr>
      <w:r>
        <w:rPr>
          <w:rFonts w:hint="eastAsia" w:ascii="宋体" w:hAnsi="宋体" w:cs="宋体"/>
          <w:b/>
          <w:bCs/>
          <w:sz w:val="44"/>
          <w:szCs w:val="44"/>
          <w:u w:val="single"/>
        </w:rPr>
        <w:t xml:space="preserve"> </w:t>
      </w:r>
      <w:r>
        <w:rPr>
          <w:rFonts w:hint="eastAsia" w:ascii="宋体" w:hAnsi="宋体" w:cs="宋体"/>
          <w:b/>
          <w:bCs/>
          <w:sz w:val="44"/>
          <w:szCs w:val="44"/>
          <w:u w:val="single"/>
          <w:lang w:eastAsia="zh-CN"/>
        </w:rPr>
        <w:t>洛阳市商务局</w:t>
      </w:r>
      <w:r>
        <w:rPr>
          <w:rFonts w:hint="eastAsia" w:ascii="宋体" w:hAnsi="宋体" w:cs="宋体"/>
          <w:b/>
          <w:bCs/>
          <w:sz w:val="44"/>
          <w:szCs w:val="44"/>
          <w:u w:val="single"/>
        </w:rPr>
        <w:t xml:space="preserve"> </w:t>
      </w:r>
      <w:r>
        <w:rPr>
          <w:rFonts w:hint="eastAsia" w:ascii="宋体" w:hAnsi="宋体" w:cs="宋体"/>
          <w:b/>
          <w:bCs/>
          <w:sz w:val="44"/>
          <w:szCs w:val="44"/>
        </w:rPr>
        <w:t>（部门）行政执法权责清单、岗责体系</w:t>
      </w:r>
    </w:p>
    <w:p>
      <w:pPr>
        <w:spacing w:line="440" w:lineRule="exact"/>
        <w:jc w:val="center"/>
        <w:rPr>
          <w:rFonts w:hint="eastAsia" w:ascii="宋体" w:hAnsi="宋体" w:cs="宋体"/>
          <w:b/>
          <w:bCs/>
          <w:sz w:val="36"/>
          <w:szCs w:val="36"/>
        </w:rPr>
      </w:pPr>
      <w:r>
        <w:rPr>
          <w:rFonts w:hint="eastAsia" w:ascii="宋体" w:hAnsi="宋体" w:cs="宋体"/>
          <w:b/>
          <w:bCs/>
          <w:sz w:val="36"/>
          <w:szCs w:val="36"/>
        </w:rPr>
        <w:t>（一）行政许可类（共</w:t>
      </w:r>
      <w:r>
        <w:rPr>
          <w:rFonts w:hint="eastAsia" w:ascii="宋体" w:hAnsi="宋体" w:cs="宋体"/>
          <w:b/>
          <w:bCs/>
          <w:color w:val="000000"/>
          <w:sz w:val="36"/>
          <w:szCs w:val="36"/>
          <w:lang w:val="en-US" w:eastAsia="zh-CN"/>
        </w:rPr>
        <w:t>7</w:t>
      </w:r>
      <w:r>
        <w:rPr>
          <w:rFonts w:hint="eastAsia" w:ascii="宋体" w:hAnsi="宋体" w:cs="宋体"/>
          <w:b/>
          <w:bCs/>
          <w:color w:val="000000"/>
          <w:sz w:val="36"/>
          <w:szCs w:val="36"/>
        </w:rPr>
        <w:t>项</w:t>
      </w:r>
      <w:r>
        <w:rPr>
          <w:rFonts w:hint="eastAsia" w:ascii="宋体" w:hAnsi="宋体" w:cs="宋体"/>
          <w:b/>
          <w:bCs/>
          <w:sz w:val="36"/>
          <w:szCs w:val="36"/>
        </w:rPr>
        <w:t>）</w:t>
      </w:r>
    </w:p>
    <w:tbl>
      <w:tblPr>
        <w:tblStyle w:val="4"/>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hint="eastAsia" w:ascii="宋体" w:hAnsi="宋体" w:cs="宋体"/>
                <w:b/>
                <w:color w:val="000000"/>
                <w:szCs w:val="21"/>
              </w:rPr>
            </w:pPr>
            <w:r>
              <w:rPr>
                <w:rFonts w:hint="eastAsia" w:ascii="宋体" w:hAnsi="宋体" w:cs="宋体"/>
                <w:b/>
                <w:color w:val="000000"/>
                <w:szCs w:val="21"/>
              </w:rPr>
              <w:t>职权</w:t>
            </w:r>
          </w:p>
          <w:p>
            <w:pPr>
              <w:spacing w:line="280" w:lineRule="exact"/>
              <w:jc w:val="center"/>
              <w:rPr>
                <w:rFonts w:hint="eastAsia" w:ascii="宋体" w:hAnsi="宋体" w:cs="宋体"/>
                <w:b/>
                <w:color w:val="000000"/>
                <w:szCs w:val="21"/>
              </w:rPr>
            </w:pPr>
            <w:r>
              <w:rPr>
                <w:rFonts w:hint="eastAsia" w:ascii="宋体" w:hAnsi="宋体" w:cs="宋体"/>
                <w:b/>
                <w:color w:val="000000"/>
                <w:szCs w:val="21"/>
              </w:rPr>
              <w:t>类别</w:t>
            </w:r>
          </w:p>
        </w:tc>
        <w:tc>
          <w:tcPr>
            <w:tcW w:w="1147" w:type="dxa"/>
            <w:vAlign w:val="center"/>
          </w:tcPr>
          <w:p>
            <w:pPr>
              <w:spacing w:line="280" w:lineRule="exact"/>
              <w:jc w:val="center"/>
              <w:rPr>
                <w:rFonts w:hint="eastAsia" w:ascii="宋体" w:hAnsi="宋体" w:cs="宋体"/>
                <w:b/>
                <w:color w:val="000000"/>
                <w:szCs w:val="21"/>
              </w:rPr>
            </w:pPr>
            <w:r>
              <w:rPr>
                <w:rFonts w:hint="eastAsia" w:ascii="宋体" w:hAnsi="宋体" w:cs="宋体"/>
                <w:b/>
                <w:color w:val="000000"/>
                <w:szCs w:val="21"/>
              </w:rPr>
              <w:t>职权名称</w:t>
            </w:r>
          </w:p>
        </w:tc>
        <w:tc>
          <w:tcPr>
            <w:tcW w:w="2106" w:type="dxa"/>
            <w:vAlign w:val="center"/>
          </w:tcPr>
          <w:p>
            <w:pPr>
              <w:spacing w:line="280" w:lineRule="exact"/>
              <w:jc w:val="center"/>
              <w:rPr>
                <w:rFonts w:hint="eastAsia" w:ascii="宋体" w:hAnsi="宋体" w:cs="宋体"/>
                <w:b/>
                <w:color w:val="000000"/>
                <w:szCs w:val="21"/>
              </w:rPr>
            </w:pPr>
            <w:r>
              <w:rPr>
                <w:rFonts w:hint="eastAsia" w:ascii="宋体" w:hAnsi="宋体" w:cs="宋体"/>
                <w:b/>
                <w:color w:val="000000"/>
                <w:szCs w:val="21"/>
              </w:rPr>
              <w:t>实施依据</w:t>
            </w:r>
          </w:p>
        </w:tc>
        <w:tc>
          <w:tcPr>
            <w:tcW w:w="5916" w:type="dxa"/>
            <w:vAlign w:val="center"/>
          </w:tcPr>
          <w:p>
            <w:pPr>
              <w:spacing w:line="280" w:lineRule="exact"/>
              <w:jc w:val="center"/>
              <w:rPr>
                <w:rFonts w:hint="eastAsia" w:ascii="宋体" w:hAnsi="宋体" w:cs="宋体"/>
                <w:b/>
                <w:color w:val="000000"/>
                <w:szCs w:val="21"/>
              </w:rPr>
            </w:pPr>
            <w:r>
              <w:rPr>
                <w:rFonts w:hint="eastAsia" w:ascii="宋体" w:hAnsi="宋体" w:cs="宋体"/>
                <w:b/>
                <w:color w:val="000000"/>
                <w:szCs w:val="21"/>
              </w:rPr>
              <w:t>责任事项（岗位责任)</w:t>
            </w:r>
          </w:p>
        </w:tc>
        <w:tc>
          <w:tcPr>
            <w:tcW w:w="1150" w:type="dxa"/>
            <w:vAlign w:val="center"/>
          </w:tcPr>
          <w:p>
            <w:pPr>
              <w:spacing w:line="280" w:lineRule="exact"/>
              <w:jc w:val="center"/>
              <w:rPr>
                <w:rFonts w:hint="eastAsia" w:ascii="宋体" w:hAnsi="宋体" w:cs="宋体"/>
                <w:b/>
                <w:color w:val="000000"/>
                <w:szCs w:val="21"/>
              </w:rPr>
            </w:pPr>
            <w:r>
              <w:rPr>
                <w:rFonts w:hint="eastAsia" w:ascii="宋体" w:hAnsi="宋体" w:cs="宋体"/>
                <w:b/>
                <w:color w:val="000000"/>
                <w:szCs w:val="21"/>
              </w:rPr>
              <w:t>办理期限</w:t>
            </w:r>
          </w:p>
        </w:tc>
        <w:tc>
          <w:tcPr>
            <w:tcW w:w="1134" w:type="dxa"/>
            <w:vAlign w:val="center"/>
          </w:tcPr>
          <w:p>
            <w:pPr>
              <w:spacing w:line="280" w:lineRule="exact"/>
              <w:jc w:val="center"/>
              <w:rPr>
                <w:rFonts w:hint="eastAsia" w:ascii="宋体" w:hAnsi="宋体" w:cs="宋体"/>
                <w:b/>
                <w:color w:val="000000"/>
                <w:szCs w:val="21"/>
              </w:rPr>
            </w:pPr>
            <w:r>
              <w:rPr>
                <w:rFonts w:hint="eastAsia" w:ascii="宋体" w:hAnsi="宋体" w:cs="宋体"/>
                <w:b/>
                <w:color w:val="000000"/>
                <w:szCs w:val="21"/>
              </w:rPr>
              <w:t>收费情况</w:t>
            </w:r>
          </w:p>
        </w:tc>
        <w:tc>
          <w:tcPr>
            <w:tcW w:w="2723" w:type="dxa"/>
            <w:vAlign w:val="center"/>
          </w:tcPr>
          <w:p>
            <w:pPr>
              <w:spacing w:line="280" w:lineRule="exact"/>
              <w:jc w:val="center"/>
              <w:rPr>
                <w:rFonts w:hint="eastAsia" w:ascii="宋体" w:hAnsi="宋体" w:cs="宋体"/>
                <w:b/>
                <w:color w:val="000000"/>
                <w:szCs w:val="21"/>
              </w:rPr>
            </w:pPr>
            <w:r>
              <w:rPr>
                <w:rFonts w:hint="eastAsia" w:ascii="宋体" w:hAnsi="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行</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政</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许</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可</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类</w:t>
            </w:r>
          </w:p>
        </w:tc>
        <w:tc>
          <w:tcPr>
            <w:tcW w:w="1147"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报废机动车回收企业资质认定初审</w:t>
            </w:r>
          </w:p>
        </w:tc>
        <w:tc>
          <w:tcPr>
            <w:tcW w:w="2106" w:type="dxa"/>
            <w:vMerge w:val="restart"/>
            <w:vAlign w:val="center"/>
          </w:tcPr>
          <w:p>
            <w:pPr>
              <w:spacing w:line="280" w:lineRule="exact"/>
              <w:jc w:val="left"/>
              <w:rPr>
                <w:rFonts w:hint="eastAsia" w:ascii="仿宋" w:hAnsi="仿宋" w:eastAsia="仿宋"/>
                <w:color w:val="000000"/>
                <w:szCs w:val="21"/>
              </w:rPr>
            </w:pPr>
            <w:r>
              <w:rPr>
                <w:rFonts w:hint="eastAsia" w:ascii="仿宋" w:hAnsi="仿宋" w:eastAsia="仿宋"/>
                <w:color w:val="000000"/>
                <w:szCs w:val="21"/>
              </w:rPr>
              <w:t>《报废汽车回收管理办法》第</w:t>
            </w:r>
            <w:r>
              <w:rPr>
                <w:rFonts w:hint="eastAsia" w:ascii="仿宋" w:hAnsi="仿宋" w:eastAsia="仿宋"/>
                <w:color w:val="000000"/>
                <w:szCs w:val="21"/>
                <w:lang w:eastAsia="zh-CN"/>
              </w:rPr>
              <w:t>六</w:t>
            </w:r>
            <w:r>
              <w:rPr>
                <w:rFonts w:hint="eastAsia" w:ascii="仿宋" w:hAnsi="仿宋" w:eastAsia="仿宋"/>
                <w:color w:val="000000"/>
                <w:szCs w:val="21"/>
              </w:rPr>
              <w:t>条：“</w:t>
            </w:r>
            <w:r>
              <w:rPr>
                <w:rFonts w:hint="eastAsia" w:ascii="仿宋" w:hAnsi="仿宋" w:eastAsia="仿宋" w:cs="仿宋_GB2312"/>
                <w:color w:val="000000"/>
                <w:szCs w:val="21"/>
              </w:rPr>
              <w:t>国家对报废汽车回收实行特种行业管理，对报废汽车回收企业实行资格认定制度</w:t>
            </w:r>
            <w:r>
              <w:rPr>
                <w:rFonts w:hint="eastAsia" w:ascii="仿宋" w:hAnsi="仿宋" w:eastAsia="仿宋" w:cs="仿宋_GB2312"/>
                <w:color w:val="000000"/>
                <w:szCs w:val="21"/>
                <w:lang w:eastAsia="zh-CN"/>
              </w:rPr>
              <w:t>”</w:t>
            </w:r>
            <w:r>
              <w:rPr>
                <w:rFonts w:hint="eastAsia" w:ascii="仿宋" w:hAnsi="仿宋" w:eastAsia="仿宋" w:cs="仿宋_GB2312"/>
                <w:color w:val="000000"/>
                <w:szCs w:val="21"/>
              </w:rPr>
              <w:t>。第八条：</w:t>
            </w:r>
            <w:r>
              <w:rPr>
                <w:rFonts w:hint="eastAsia" w:ascii="仿宋" w:hAnsi="仿宋" w:eastAsia="仿宋" w:cs="仿宋_GB2312"/>
                <w:color w:val="000000"/>
                <w:szCs w:val="21"/>
                <w:lang w:eastAsia="zh-CN"/>
              </w:rPr>
              <w:t>“</w:t>
            </w:r>
            <w:r>
              <w:rPr>
                <w:rFonts w:hint="eastAsia" w:ascii="仿宋" w:hAnsi="仿宋" w:eastAsia="仿宋" w:cs="仿宋_GB2312"/>
                <w:color w:val="000000"/>
                <w:szCs w:val="21"/>
              </w:rPr>
              <w:t>拟从事报废汽车回收业务的，应当向省、自治区、直辖市人民政府经济贸易管理部门提出申请。省、自治区、直辖市人民政府经济贸易管理部门应当自收到申请之日起30个工作日内，按照本办法第七条规定的条件对申请审核完毕；特殊情况下，可以适当延长，但延长的时间不得超过30个工作日。经审核符合条件的，颁发《资格认定书》；不符合条件的，驳回申请并说明理由</w:t>
            </w:r>
            <w:r>
              <w:rPr>
                <w:rFonts w:hint="eastAsia" w:ascii="仿宋" w:hAnsi="仿宋" w:eastAsia="仿宋"/>
                <w:color w:val="000000"/>
                <w:szCs w:val="21"/>
              </w:rPr>
              <w:t>”。</w:t>
            </w:r>
          </w:p>
          <w:p>
            <w:pPr>
              <w:spacing w:line="280" w:lineRule="exact"/>
              <w:jc w:val="center"/>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1.受理责任（受理岗）：</w:t>
            </w:r>
            <w:r>
              <w:rPr>
                <w:rFonts w:hint="eastAsia" w:ascii="仿宋" w:hAnsi="仿宋" w:eastAsia="仿宋"/>
                <w:color w:val="000000"/>
                <w:szCs w:val="21"/>
                <w:lang w:eastAsia="zh-CN"/>
              </w:rPr>
              <w:t>前台</w:t>
            </w:r>
            <w:r>
              <w:rPr>
                <w:rFonts w:hint="eastAsia" w:ascii="仿宋" w:hAnsi="仿宋" w:eastAsia="仿宋"/>
                <w:color w:val="000000"/>
                <w:szCs w:val="21"/>
              </w:rPr>
              <w:t>接收行政许可申请材料；经</w:t>
            </w:r>
            <w:r>
              <w:rPr>
                <w:rFonts w:hint="eastAsia" w:ascii="仿宋" w:hAnsi="仿宋" w:eastAsia="仿宋"/>
                <w:color w:val="000000"/>
                <w:szCs w:val="21"/>
                <w:lang w:eastAsia="zh-CN"/>
              </w:rPr>
              <w:t>行政审批科</w:t>
            </w:r>
            <w:r>
              <w:rPr>
                <w:rFonts w:hint="eastAsia" w:ascii="仿宋" w:hAnsi="仿宋" w:eastAsia="仿宋"/>
                <w:color w:val="000000"/>
                <w:szCs w:val="21"/>
              </w:rPr>
              <w:t>审</w:t>
            </w:r>
            <w:r>
              <w:rPr>
                <w:rFonts w:hint="eastAsia" w:ascii="仿宋" w:hAnsi="仿宋" w:eastAsia="仿宋"/>
                <w:color w:val="000000"/>
                <w:szCs w:val="21"/>
                <w:lang w:eastAsia="zh-CN"/>
              </w:rPr>
              <w:t>核</w:t>
            </w:r>
            <w:r>
              <w:rPr>
                <w:rFonts w:hint="eastAsia" w:ascii="仿宋" w:hAnsi="仿宋" w:eastAsia="仿宋"/>
                <w:color w:val="000000"/>
                <w:szCs w:val="21"/>
              </w:rPr>
              <w:t>，依法受理或不予受理；不予受理的依法告知理由；申请材料不齐全的，一次性告知需补正的材料。</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1134"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否</w:t>
            </w:r>
          </w:p>
        </w:tc>
        <w:tc>
          <w:tcPr>
            <w:tcW w:w="2723" w:type="dxa"/>
            <w:vMerge w:val="restart"/>
            <w:vAlign w:val="top"/>
          </w:tcPr>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行政机关未履行法定职责或者违法行使职权的，</w:t>
            </w:r>
            <w:r>
              <w:rPr>
                <w:rFonts w:ascii="仿宋" w:hAnsi="仿宋" w:eastAsia="仿宋"/>
                <w:color w:val="000000"/>
                <w:szCs w:val="21"/>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rPr>
              <w:t xml:space="preserve">。     </w:t>
            </w:r>
          </w:p>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行政执法人员未履行法定职责或者违法行使职权的，</w:t>
            </w:r>
            <w:r>
              <w:rPr>
                <w:rFonts w:ascii="仿宋" w:hAnsi="仿宋" w:eastAsia="仿宋"/>
                <w:color w:val="000000"/>
                <w:szCs w:val="21"/>
              </w:rPr>
              <w:t>视情节轻重给予批评教育、离岗培训、调离执法岗位、取消行政执法资格等处理或者依法给予处分；构成犯罪的，依法追究刑事责任</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vAlign w:val="top"/>
          </w:tcPr>
          <w:p>
            <w:pPr>
              <w:spacing w:line="280" w:lineRule="exact"/>
              <w:rPr>
                <w:rFonts w:hint="eastAsia" w:ascii="仿宋" w:hAnsi="仿宋" w:eastAsia="仿宋"/>
                <w:color w:val="000000"/>
                <w:szCs w:val="21"/>
              </w:rPr>
            </w:pPr>
          </w:p>
        </w:tc>
        <w:tc>
          <w:tcPr>
            <w:tcW w:w="1147" w:type="dxa"/>
            <w:vMerge w:val="continue"/>
            <w:vAlign w:val="top"/>
          </w:tcPr>
          <w:p>
            <w:pPr>
              <w:spacing w:line="280" w:lineRule="exact"/>
              <w:rPr>
                <w:rFonts w:hint="eastAsia" w:ascii="仿宋" w:hAnsi="仿宋" w:eastAsia="仿宋"/>
                <w:color w:val="000000"/>
                <w:szCs w:val="21"/>
              </w:rPr>
            </w:pPr>
          </w:p>
        </w:tc>
        <w:tc>
          <w:tcPr>
            <w:tcW w:w="2106" w:type="dxa"/>
            <w:vMerge w:val="continue"/>
            <w:vAlign w:val="top"/>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2.审查责任（审查岗）：</w:t>
            </w:r>
            <w:r>
              <w:rPr>
                <w:rFonts w:hint="eastAsia" w:ascii="仿宋" w:hAnsi="仿宋" w:eastAsia="仿宋"/>
                <w:color w:val="000000"/>
                <w:szCs w:val="21"/>
                <w:lang w:eastAsia="zh-CN"/>
              </w:rPr>
              <w:t>行政审批科</w:t>
            </w:r>
            <w:r>
              <w:rPr>
                <w:rFonts w:hint="eastAsia" w:ascii="仿宋" w:hAnsi="仿宋" w:eastAsia="仿宋"/>
                <w:color w:val="000000"/>
                <w:szCs w:val="21"/>
              </w:rPr>
              <w:t>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rPr>
              <w:t>日</w:t>
            </w:r>
          </w:p>
        </w:tc>
        <w:tc>
          <w:tcPr>
            <w:tcW w:w="1134" w:type="dxa"/>
            <w:vMerge w:val="continue"/>
            <w:vAlign w:val="top"/>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vAlign w:val="top"/>
          </w:tcPr>
          <w:p>
            <w:pPr>
              <w:spacing w:line="280" w:lineRule="exact"/>
              <w:rPr>
                <w:rFonts w:hint="eastAsia" w:ascii="仿宋" w:hAnsi="仿宋" w:eastAsia="仿宋"/>
                <w:color w:val="000000"/>
                <w:szCs w:val="21"/>
              </w:rPr>
            </w:pPr>
          </w:p>
        </w:tc>
        <w:tc>
          <w:tcPr>
            <w:tcW w:w="1147" w:type="dxa"/>
            <w:vMerge w:val="continue"/>
            <w:vAlign w:val="top"/>
          </w:tcPr>
          <w:p>
            <w:pPr>
              <w:spacing w:line="280" w:lineRule="exact"/>
              <w:rPr>
                <w:rFonts w:hint="eastAsia" w:ascii="仿宋" w:hAnsi="仿宋" w:eastAsia="仿宋"/>
                <w:color w:val="000000"/>
                <w:szCs w:val="21"/>
              </w:rPr>
            </w:pPr>
          </w:p>
        </w:tc>
        <w:tc>
          <w:tcPr>
            <w:tcW w:w="2106" w:type="dxa"/>
            <w:vMerge w:val="continue"/>
            <w:vAlign w:val="top"/>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3.决定责任（决定岗)：</w:t>
            </w:r>
            <w:r>
              <w:rPr>
                <w:rFonts w:hint="eastAsia" w:ascii="仿宋" w:hAnsi="仿宋" w:eastAsia="仿宋"/>
                <w:color w:val="000000"/>
                <w:szCs w:val="21"/>
                <w:lang w:eastAsia="zh-CN"/>
              </w:rPr>
              <w:t>分管领导</w:t>
            </w:r>
            <w:r>
              <w:rPr>
                <w:rFonts w:hint="eastAsia" w:ascii="仿宋" w:hAnsi="仿宋" w:eastAsia="仿宋"/>
                <w:color w:val="000000"/>
                <w:szCs w:val="21"/>
              </w:rPr>
              <w:t>审批后作出</w:t>
            </w:r>
            <w:r>
              <w:rPr>
                <w:rFonts w:hint="eastAsia" w:ascii="仿宋" w:hAnsi="仿宋" w:eastAsia="仿宋"/>
                <w:color w:val="000000"/>
                <w:szCs w:val="21"/>
                <w:lang w:eastAsia="zh-CN"/>
              </w:rPr>
              <w:t>初审</w:t>
            </w:r>
            <w:r>
              <w:rPr>
                <w:rFonts w:hint="eastAsia" w:ascii="仿宋" w:hAnsi="仿宋" w:eastAsia="仿宋"/>
                <w:color w:val="000000"/>
                <w:szCs w:val="21"/>
              </w:rPr>
              <w:t>决定；对于不予行政许可的，书面告知申请人，并说明理由。</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10</w:t>
            </w:r>
            <w:r>
              <w:rPr>
                <w:rFonts w:hint="eastAsia" w:ascii="仿宋" w:hAnsi="仿宋" w:eastAsia="仿宋"/>
                <w:color w:val="000000"/>
                <w:szCs w:val="21"/>
              </w:rPr>
              <w:t>日</w:t>
            </w:r>
          </w:p>
        </w:tc>
        <w:tc>
          <w:tcPr>
            <w:tcW w:w="1134" w:type="dxa"/>
            <w:vMerge w:val="continue"/>
            <w:vAlign w:val="top"/>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8" w:type="dxa"/>
            <w:vMerge w:val="continue"/>
            <w:vAlign w:val="top"/>
          </w:tcPr>
          <w:p>
            <w:pPr>
              <w:spacing w:line="280" w:lineRule="exact"/>
              <w:rPr>
                <w:rFonts w:hint="eastAsia" w:ascii="仿宋" w:hAnsi="仿宋" w:eastAsia="仿宋"/>
                <w:color w:val="000000"/>
                <w:szCs w:val="21"/>
              </w:rPr>
            </w:pPr>
          </w:p>
        </w:tc>
        <w:tc>
          <w:tcPr>
            <w:tcW w:w="1147" w:type="dxa"/>
            <w:vMerge w:val="continue"/>
            <w:vAlign w:val="top"/>
          </w:tcPr>
          <w:p>
            <w:pPr>
              <w:spacing w:line="280" w:lineRule="exact"/>
              <w:rPr>
                <w:rFonts w:hint="eastAsia" w:ascii="仿宋" w:hAnsi="仿宋" w:eastAsia="仿宋"/>
                <w:color w:val="000000"/>
                <w:szCs w:val="21"/>
              </w:rPr>
            </w:pPr>
          </w:p>
        </w:tc>
        <w:tc>
          <w:tcPr>
            <w:tcW w:w="2106" w:type="dxa"/>
            <w:vMerge w:val="continue"/>
            <w:vAlign w:val="top"/>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4.送达责任(送达岗）：将行政许可</w:t>
            </w:r>
            <w:r>
              <w:rPr>
                <w:rFonts w:hint="eastAsia" w:ascii="仿宋" w:hAnsi="仿宋" w:eastAsia="仿宋"/>
                <w:color w:val="000000"/>
                <w:szCs w:val="21"/>
                <w:lang w:eastAsia="zh-CN"/>
              </w:rPr>
              <w:t>初审</w:t>
            </w:r>
            <w:r>
              <w:rPr>
                <w:rFonts w:hint="eastAsia" w:ascii="仿宋" w:hAnsi="仿宋" w:eastAsia="仿宋"/>
                <w:color w:val="000000"/>
                <w:szCs w:val="21"/>
              </w:rPr>
              <w:t>决定</w:t>
            </w:r>
            <w:r>
              <w:rPr>
                <w:rFonts w:hint="eastAsia" w:ascii="仿宋" w:hAnsi="仿宋" w:eastAsia="仿宋"/>
                <w:color w:val="000000"/>
                <w:szCs w:val="21"/>
                <w:lang w:eastAsia="zh-CN"/>
              </w:rPr>
              <w:t>转送省商务厅</w:t>
            </w:r>
            <w:r>
              <w:rPr>
                <w:rFonts w:hint="eastAsia" w:ascii="仿宋" w:hAnsi="仿宋" w:eastAsia="仿宋"/>
                <w:color w:val="000000"/>
                <w:szCs w:val="21"/>
              </w:rPr>
              <w:t>。</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rPr>
              <w:t>日</w:t>
            </w:r>
          </w:p>
        </w:tc>
        <w:tc>
          <w:tcPr>
            <w:tcW w:w="1134" w:type="dxa"/>
            <w:vMerge w:val="continue"/>
            <w:vAlign w:val="top"/>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8" w:type="dxa"/>
            <w:vMerge w:val="continue"/>
            <w:vAlign w:val="top"/>
          </w:tcPr>
          <w:p>
            <w:pPr>
              <w:spacing w:line="280" w:lineRule="exact"/>
              <w:rPr>
                <w:rFonts w:hint="eastAsia" w:ascii="仿宋" w:hAnsi="仿宋" w:eastAsia="仿宋"/>
                <w:color w:val="000000"/>
                <w:szCs w:val="21"/>
              </w:rPr>
            </w:pPr>
          </w:p>
        </w:tc>
        <w:tc>
          <w:tcPr>
            <w:tcW w:w="1147" w:type="dxa"/>
            <w:vMerge w:val="continue"/>
            <w:vAlign w:val="top"/>
          </w:tcPr>
          <w:p>
            <w:pPr>
              <w:spacing w:line="280" w:lineRule="exact"/>
              <w:rPr>
                <w:rFonts w:hint="eastAsia" w:ascii="仿宋" w:hAnsi="仿宋" w:eastAsia="仿宋"/>
                <w:color w:val="000000"/>
                <w:szCs w:val="21"/>
              </w:rPr>
            </w:pPr>
          </w:p>
        </w:tc>
        <w:tc>
          <w:tcPr>
            <w:tcW w:w="2106" w:type="dxa"/>
            <w:vMerge w:val="continue"/>
            <w:vAlign w:val="top"/>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5.事后监管责任（事后监管岗）：加强对准予从事行政许可事项活动情况监督检查。</w:t>
            </w:r>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top"/>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8" w:type="dxa"/>
            <w:vMerge w:val="continue"/>
            <w:vAlign w:val="top"/>
          </w:tcPr>
          <w:p>
            <w:pPr>
              <w:spacing w:line="280" w:lineRule="exact"/>
              <w:rPr>
                <w:rFonts w:hint="eastAsia" w:ascii="仿宋" w:hAnsi="仿宋" w:eastAsia="仿宋"/>
                <w:color w:val="000000"/>
                <w:szCs w:val="21"/>
              </w:rPr>
            </w:pPr>
          </w:p>
        </w:tc>
        <w:tc>
          <w:tcPr>
            <w:tcW w:w="1147" w:type="dxa"/>
            <w:vMerge w:val="continue"/>
            <w:vAlign w:val="top"/>
          </w:tcPr>
          <w:p>
            <w:pPr>
              <w:spacing w:line="280" w:lineRule="exact"/>
              <w:rPr>
                <w:rFonts w:hint="eastAsia" w:ascii="仿宋" w:hAnsi="仿宋" w:eastAsia="仿宋"/>
                <w:color w:val="000000"/>
                <w:szCs w:val="21"/>
              </w:rPr>
            </w:pPr>
          </w:p>
        </w:tc>
        <w:tc>
          <w:tcPr>
            <w:tcW w:w="2106" w:type="dxa"/>
            <w:vMerge w:val="continue"/>
            <w:vAlign w:val="top"/>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6.法律、法规、规章规定的其他应履行的责任事项。</w:t>
            </w:r>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top"/>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8"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行</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政</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许</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可</w:t>
            </w:r>
          </w:p>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类</w:t>
            </w:r>
          </w:p>
        </w:tc>
        <w:tc>
          <w:tcPr>
            <w:tcW w:w="1147" w:type="dxa"/>
            <w:vMerge w:val="restart"/>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成品油零售经营资格审批</w:t>
            </w:r>
          </w:p>
        </w:tc>
        <w:tc>
          <w:tcPr>
            <w:tcW w:w="2106" w:type="dxa"/>
            <w:vMerge w:val="restart"/>
            <w:vAlign w:val="center"/>
          </w:tcPr>
          <w:p>
            <w:pPr>
              <w:spacing w:line="280" w:lineRule="exact"/>
              <w:jc w:val="left"/>
              <w:rPr>
                <w:rFonts w:hint="eastAsia" w:ascii="仿宋" w:hAnsi="仿宋" w:eastAsia="仿宋"/>
                <w:color w:val="000000"/>
                <w:szCs w:val="21"/>
              </w:rPr>
            </w:pPr>
            <w:r>
              <w:rPr>
                <w:rFonts w:hint="eastAsia" w:ascii="仿宋" w:hAnsi="仿宋" w:eastAsia="仿宋"/>
                <w:color w:val="000000"/>
                <w:szCs w:val="21"/>
              </w:rPr>
              <w:t>1.《国务院对确需保留的行政审批项目设定行政许可的决定》附件第183项：</w:t>
            </w:r>
            <w:r>
              <w:rPr>
                <w:rFonts w:hint="eastAsia" w:ascii="仿宋" w:hAnsi="仿宋" w:eastAsia="仿宋"/>
                <w:color w:val="000000"/>
                <w:szCs w:val="21"/>
                <w:lang w:eastAsia="zh-CN"/>
              </w:rPr>
              <w:t>“</w:t>
            </w:r>
            <w:r>
              <w:rPr>
                <w:rFonts w:hint="eastAsia" w:ascii="仿宋" w:hAnsi="仿宋" w:eastAsia="仿宋"/>
                <w:color w:val="000000"/>
                <w:szCs w:val="21"/>
              </w:rPr>
              <w:t>石油成品油批发、仓储、零售经营资格审批，实施机关：商务部、省级人民政府商务行政主管部门</w:t>
            </w:r>
            <w:r>
              <w:rPr>
                <w:rFonts w:hint="eastAsia" w:ascii="仿宋" w:hAnsi="仿宋" w:eastAsia="仿宋"/>
                <w:color w:val="000000"/>
                <w:szCs w:val="21"/>
                <w:lang w:eastAsia="zh-CN"/>
              </w:rPr>
              <w:t>”</w:t>
            </w:r>
            <w:r>
              <w:rPr>
                <w:rFonts w:hint="eastAsia" w:ascii="仿宋" w:hAnsi="仿宋" w:eastAsia="仿宋"/>
                <w:color w:val="000000"/>
                <w:szCs w:val="21"/>
              </w:rPr>
              <w:t>。</w:t>
            </w:r>
          </w:p>
          <w:p>
            <w:pPr>
              <w:spacing w:line="280" w:lineRule="exact"/>
              <w:jc w:val="left"/>
              <w:rPr>
                <w:rFonts w:hint="eastAsia" w:ascii="仿宋" w:hAnsi="仿宋" w:eastAsia="仿宋"/>
                <w:color w:val="000000"/>
                <w:szCs w:val="21"/>
              </w:rPr>
            </w:pPr>
          </w:p>
          <w:p>
            <w:pPr>
              <w:numPr>
                <w:ilvl w:val="0"/>
                <w:numId w:val="1"/>
              </w:numPr>
              <w:spacing w:line="280" w:lineRule="exact"/>
              <w:jc w:val="left"/>
              <w:rPr>
                <w:rFonts w:hint="eastAsia" w:ascii="仿宋" w:hAnsi="仿宋" w:eastAsia="仿宋"/>
                <w:color w:val="000000"/>
                <w:szCs w:val="21"/>
              </w:rPr>
            </w:pPr>
            <w:r>
              <w:rPr>
                <w:rFonts w:hint="eastAsia" w:ascii="仿宋" w:hAnsi="仿宋" w:eastAsia="仿宋"/>
                <w:color w:val="000000"/>
                <w:szCs w:val="21"/>
              </w:rPr>
              <w:t>《成品油市场管理办法》</w:t>
            </w:r>
            <w:r>
              <w:rPr>
                <w:rFonts w:hint="eastAsia" w:ascii="仿宋" w:hAnsi="仿宋" w:eastAsia="仿宋"/>
                <w:color w:val="000000"/>
                <w:szCs w:val="21"/>
                <w:lang w:eastAsia="zh-CN"/>
              </w:rPr>
              <w:t>（已取消，等待省政府自行出台办法，正在制定中）</w:t>
            </w:r>
            <w:r>
              <w:rPr>
                <w:rFonts w:hint="eastAsia" w:ascii="仿宋" w:hAnsi="仿宋" w:eastAsia="仿宋"/>
                <w:color w:val="000000"/>
                <w:szCs w:val="21"/>
              </w:rPr>
              <w:t>第六条：</w:t>
            </w:r>
            <w:r>
              <w:rPr>
                <w:rFonts w:hint="eastAsia" w:ascii="仿宋" w:hAnsi="仿宋" w:eastAsia="仿宋"/>
                <w:color w:val="000000"/>
                <w:szCs w:val="21"/>
                <w:lang w:eastAsia="zh-CN"/>
              </w:rPr>
              <w:t>“</w:t>
            </w:r>
            <w:r>
              <w:rPr>
                <w:rFonts w:hint="eastAsia" w:ascii="仿宋" w:hAnsi="仿宋" w:eastAsia="仿宋"/>
                <w:color w:val="000000"/>
                <w:szCs w:val="21"/>
              </w:rPr>
              <w:t>申请从事成品油零售经营资格的企业，应当向所在地市级（设区的市，下同）人民政府商务主管部门提出申请。地市级人民政府商务主管部门审查后，将初步审查意见及申请材料报省级人民政府商务主管部门。由省级人民政府商务主管部门决定是否给予成品油零售经营许可</w:t>
            </w:r>
            <w:r>
              <w:rPr>
                <w:rFonts w:hint="eastAsia" w:ascii="仿宋" w:hAnsi="仿宋" w:eastAsia="仿宋"/>
                <w:color w:val="000000"/>
                <w:szCs w:val="21"/>
                <w:lang w:eastAsia="zh-CN"/>
              </w:rPr>
              <w:t>”</w:t>
            </w:r>
            <w:r>
              <w:rPr>
                <w:rFonts w:hint="eastAsia" w:ascii="仿宋" w:hAnsi="仿宋" w:eastAsia="仿宋"/>
                <w:color w:val="000000"/>
                <w:szCs w:val="21"/>
              </w:rPr>
              <w:t>。</w:t>
            </w:r>
          </w:p>
          <w:p>
            <w:pPr>
              <w:numPr>
                <w:ilvl w:val="0"/>
                <w:numId w:val="1"/>
              </w:numPr>
              <w:spacing w:line="280" w:lineRule="exact"/>
              <w:jc w:val="left"/>
              <w:rPr>
                <w:rFonts w:hint="eastAsia" w:ascii="仿宋" w:hAnsi="仿宋" w:eastAsia="仿宋"/>
                <w:color w:val="000000"/>
                <w:szCs w:val="21"/>
                <w:lang w:val="en-US" w:eastAsia="zh-CN"/>
              </w:rPr>
            </w:pPr>
            <w:r>
              <w:rPr>
                <w:rFonts w:hint="eastAsia" w:ascii="仿宋" w:hAnsi="仿宋" w:eastAsia="仿宋"/>
                <w:color w:val="000000"/>
                <w:szCs w:val="21"/>
              </w:rPr>
              <w:t>《市场准入负面清单》（201</w:t>
            </w:r>
            <w:r>
              <w:rPr>
                <w:rFonts w:hint="eastAsia" w:ascii="仿宋" w:hAnsi="仿宋" w:eastAsia="仿宋"/>
                <w:color w:val="000000"/>
                <w:szCs w:val="21"/>
                <w:lang w:val="en-US" w:eastAsia="zh-CN"/>
              </w:rPr>
              <w:t>9</w:t>
            </w:r>
            <w:r>
              <w:rPr>
                <w:rFonts w:hint="eastAsia" w:ascii="仿宋" w:hAnsi="仿宋" w:eastAsia="仿宋"/>
                <w:color w:val="000000"/>
                <w:szCs w:val="21"/>
              </w:rPr>
              <w:t>年版）第4</w:t>
            </w:r>
            <w:r>
              <w:rPr>
                <w:rFonts w:hint="eastAsia" w:ascii="仿宋" w:hAnsi="仿宋" w:eastAsia="仿宋"/>
                <w:color w:val="000000"/>
                <w:szCs w:val="21"/>
                <w:lang w:val="en-US" w:eastAsia="zh-CN"/>
              </w:rPr>
              <w:t>2</w:t>
            </w:r>
            <w:r>
              <w:rPr>
                <w:rFonts w:hint="eastAsia" w:ascii="仿宋" w:hAnsi="仿宋" w:eastAsia="仿宋"/>
                <w:color w:val="000000"/>
                <w:szCs w:val="21"/>
              </w:rPr>
              <w:t>项</w:t>
            </w:r>
          </w:p>
        </w:tc>
        <w:tc>
          <w:tcPr>
            <w:tcW w:w="5916" w:type="dxa"/>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1.受理责任（受理岗）：接收行政许可申请材料；经</w:t>
            </w:r>
            <w:r>
              <w:rPr>
                <w:rFonts w:hint="eastAsia" w:ascii="仿宋" w:hAnsi="仿宋" w:eastAsia="仿宋"/>
                <w:color w:val="000000"/>
                <w:szCs w:val="21"/>
                <w:lang w:eastAsia="zh-CN"/>
              </w:rPr>
              <w:t>行政审批科</w:t>
            </w:r>
            <w:r>
              <w:rPr>
                <w:rFonts w:hint="eastAsia" w:ascii="仿宋" w:hAnsi="仿宋" w:eastAsia="仿宋"/>
                <w:color w:val="000000"/>
                <w:szCs w:val="21"/>
              </w:rPr>
              <w:t>审批，依法受理或不予受理；不予受理的依法告知理由；申请材料不齐全的，一次性告知需补正的材料。</w:t>
            </w:r>
          </w:p>
        </w:tc>
        <w:tc>
          <w:tcPr>
            <w:tcW w:w="1150"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val="en-US" w:eastAsia="zh-CN"/>
              </w:rPr>
              <w:t>0.5</w:t>
            </w:r>
            <w:r>
              <w:rPr>
                <w:rFonts w:hint="eastAsia" w:ascii="仿宋" w:hAnsi="仿宋" w:eastAsia="仿宋"/>
                <w:color w:val="000000"/>
                <w:szCs w:val="21"/>
              </w:rPr>
              <w:t>日</w:t>
            </w:r>
          </w:p>
        </w:tc>
        <w:tc>
          <w:tcPr>
            <w:tcW w:w="1134" w:type="dxa"/>
            <w:vMerge w:val="restart"/>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否</w:t>
            </w:r>
          </w:p>
        </w:tc>
        <w:tc>
          <w:tcPr>
            <w:tcW w:w="2723" w:type="dxa"/>
            <w:vMerge w:val="restart"/>
            <w:vAlign w:val="top"/>
          </w:tcPr>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行政机关未履行法定职责或者违法行使职权的，</w:t>
            </w:r>
            <w:r>
              <w:rPr>
                <w:rFonts w:ascii="仿宋" w:hAnsi="仿宋" w:eastAsia="仿宋"/>
                <w:color w:val="000000"/>
                <w:szCs w:val="21"/>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rPr>
              <w:t xml:space="preserve">。     </w:t>
            </w:r>
          </w:p>
          <w:p>
            <w:pPr>
              <w:spacing w:line="280" w:lineRule="exact"/>
              <w:ind w:firstLine="420" w:firstLineChars="200"/>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行政执法人员未履行法定职责或者违法行使职权的，</w:t>
            </w:r>
            <w:r>
              <w:rPr>
                <w:rFonts w:ascii="仿宋" w:hAnsi="仿宋" w:eastAsia="仿宋"/>
                <w:color w:val="000000"/>
                <w:szCs w:val="21"/>
              </w:rPr>
              <w:t>视情节轻重给予批评教育、离岗培训、调离执法岗位、取消行政执法资格等处理或者依法给予处分；构成犯罪的，依法追究刑事责任</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8" w:type="dxa"/>
            <w:vMerge w:val="continue"/>
            <w:vAlign w:val="center"/>
          </w:tcPr>
          <w:p>
            <w:pPr>
              <w:spacing w:line="280" w:lineRule="exact"/>
            </w:pPr>
          </w:p>
        </w:tc>
        <w:tc>
          <w:tcPr>
            <w:tcW w:w="1147" w:type="dxa"/>
            <w:vMerge w:val="continue"/>
            <w:vAlign w:val="center"/>
          </w:tcPr>
          <w:p>
            <w:pPr>
              <w:spacing w:line="280" w:lineRule="exact"/>
            </w:pPr>
          </w:p>
        </w:tc>
        <w:tc>
          <w:tcPr>
            <w:tcW w:w="2106" w:type="dxa"/>
            <w:vMerge w:val="continue"/>
            <w:vAlign w:val="center"/>
          </w:tcPr>
          <w:p>
            <w:pPr>
              <w:spacing w:line="280" w:lineRule="exact"/>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2.审查责任（审查岗）：</w:t>
            </w:r>
            <w:r>
              <w:rPr>
                <w:rFonts w:hint="eastAsia" w:ascii="仿宋" w:hAnsi="仿宋" w:eastAsia="仿宋"/>
                <w:color w:val="000000"/>
                <w:szCs w:val="21"/>
                <w:lang w:eastAsia="zh-CN"/>
              </w:rPr>
              <w:t>行政审批科</w:t>
            </w:r>
            <w:r>
              <w:rPr>
                <w:rFonts w:hint="eastAsia" w:ascii="仿宋" w:hAnsi="仿宋" w:eastAsia="仿宋"/>
                <w:color w:val="000000"/>
                <w:szCs w:val="21"/>
              </w:rPr>
              <w:t>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8</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3.决定责任（决定岗)：</w:t>
            </w:r>
            <w:r>
              <w:rPr>
                <w:rFonts w:hint="eastAsia" w:ascii="仿宋" w:hAnsi="仿宋" w:eastAsia="仿宋"/>
                <w:color w:val="000000"/>
                <w:szCs w:val="21"/>
                <w:lang w:eastAsia="zh-CN"/>
              </w:rPr>
              <w:t>局加油站建设审核工作领导小组进行讨论</w:t>
            </w:r>
            <w:r>
              <w:rPr>
                <w:rFonts w:hint="eastAsia" w:ascii="仿宋" w:hAnsi="仿宋" w:eastAsia="仿宋"/>
                <w:color w:val="000000"/>
                <w:szCs w:val="21"/>
              </w:rPr>
              <w:t>审</w:t>
            </w:r>
            <w:r>
              <w:rPr>
                <w:rFonts w:hint="eastAsia" w:ascii="仿宋" w:hAnsi="仿宋" w:eastAsia="仿宋"/>
                <w:color w:val="000000"/>
                <w:szCs w:val="21"/>
                <w:lang w:eastAsia="zh-CN"/>
              </w:rPr>
              <w:t>核，通过的形成会议纪要，主管领导签字审批</w:t>
            </w:r>
            <w:r>
              <w:rPr>
                <w:rFonts w:hint="eastAsia" w:ascii="仿宋" w:hAnsi="仿宋" w:eastAsia="仿宋"/>
                <w:color w:val="000000"/>
                <w:szCs w:val="21"/>
              </w:rPr>
              <w:t>；对于不予行政许可的，书面告知申请人，并说明理由。</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4.送达责任(送达岗）：</w:t>
            </w:r>
            <w:r>
              <w:rPr>
                <w:rFonts w:hint="eastAsia" w:ascii="仿宋" w:hAnsi="仿宋" w:eastAsia="仿宋"/>
                <w:color w:val="000000"/>
                <w:szCs w:val="21"/>
                <w:lang w:eastAsia="zh-CN"/>
              </w:rPr>
              <w:t>前台</w:t>
            </w:r>
            <w:r>
              <w:rPr>
                <w:rFonts w:hint="eastAsia" w:ascii="仿宋" w:hAnsi="仿宋" w:eastAsia="仿宋"/>
                <w:color w:val="000000"/>
                <w:szCs w:val="21"/>
              </w:rPr>
              <w:t>制作送达文书；将行政许可决定送达当事人；对于准予许可决定，</w:t>
            </w:r>
            <w:r>
              <w:rPr>
                <w:rFonts w:hint="eastAsia" w:ascii="仿宋" w:hAnsi="仿宋" w:eastAsia="仿宋"/>
                <w:color w:val="000000"/>
                <w:szCs w:val="21"/>
                <w:lang w:eastAsia="zh-CN"/>
              </w:rPr>
              <w:t>在局网站上</w:t>
            </w:r>
            <w:r>
              <w:rPr>
                <w:rFonts w:hint="eastAsia" w:ascii="仿宋" w:hAnsi="仿宋" w:eastAsia="仿宋"/>
                <w:color w:val="000000"/>
                <w:szCs w:val="21"/>
              </w:rPr>
              <w:t>公开供公众查询。</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0.5</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5.事后监管责任（事后监管岗）：加强对准予从事行政许可事项活动情况监督检查。</w:t>
            </w:r>
          </w:p>
        </w:tc>
        <w:tc>
          <w:tcPr>
            <w:tcW w:w="1150" w:type="dxa"/>
            <w:vAlign w:val="center"/>
          </w:tcPr>
          <w:p>
            <w:pPr>
              <w:spacing w:line="280" w:lineRule="exact"/>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6.法律、法规、规章规定的其他应履行的责任事项。</w:t>
            </w:r>
          </w:p>
        </w:tc>
        <w:tc>
          <w:tcPr>
            <w:tcW w:w="1150" w:type="dxa"/>
            <w:vAlign w:val="center"/>
          </w:tcPr>
          <w:p>
            <w:pPr>
              <w:spacing w:line="280" w:lineRule="exact"/>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行</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政</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许</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可</w:t>
            </w:r>
          </w:p>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类</w:t>
            </w:r>
          </w:p>
        </w:tc>
        <w:tc>
          <w:tcPr>
            <w:tcW w:w="1147" w:type="dxa"/>
            <w:vMerge w:val="restart"/>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"http://ly.hnzwfw.gov.cn/art/2018/10/3/art_320_792592.html" \o "对外贸易经营者备案登记" \t "http://ly.hnzwfw.gov.cn/hnzw/bmft/index/_blank" </w:instrText>
            </w:r>
            <w:r>
              <w:rPr>
                <w:rFonts w:hint="eastAsia" w:ascii="仿宋" w:hAnsi="仿宋" w:eastAsia="仿宋"/>
                <w:color w:val="000000"/>
                <w:szCs w:val="21"/>
              </w:rPr>
              <w:fldChar w:fldCharType="separate"/>
            </w:r>
            <w:r>
              <w:rPr>
                <w:rFonts w:hint="eastAsia" w:ascii="仿宋" w:hAnsi="仿宋" w:eastAsia="仿宋"/>
                <w:color w:val="000000"/>
                <w:szCs w:val="21"/>
              </w:rPr>
              <w:t>对外贸易经营者备案登记</w:t>
            </w:r>
            <w:r>
              <w:rPr>
                <w:rFonts w:hint="eastAsia" w:ascii="仿宋" w:hAnsi="仿宋" w:eastAsia="仿宋"/>
                <w:color w:val="000000"/>
                <w:szCs w:val="21"/>
              </w:rPr>
              <w:fldChar w:fldCharType="end"/>
            </w:r>
          </w:p>
        </w:tc>
        <w:tc>
          <w:tcPr>
            <w:tcW w:w="2106" w:type="dxa"/>
            <w:vMerge w:val="restart"/>
            <w:vAlign w:val="center"/>
          </w:tcPr>
          <w:p>
            <w:pPr>
              <w:spacing w:line="280" w:lineRule="exact"/>
              <w:jc w:val="lef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《中华人民共和国对外贸易法》第九条：</w:t>
            </w:r>
            <w:r>
              <w:rPr>
                <w:rFonts w:hint="eastAsia" w:ascii="仿宋" w:hAnsi="仿宋" w:eastAsia="仿宋"/>
                <w:color w:val="000000"/>
                <w:szCs w:val="21"/>
                <w:lang w:eastAsia="zh-CN"/>
              </w:rPr>
              <w:t>“</w:t>
            </w:r>
            <w:r>
              <w:rPr>
                <w:rFonts w:hint="eastAsia" w:ascii="仿宋" w:hAnsi="仿宋" w:eastAsia="仿宋"/>
                <w:color w:val="000000"/>
                <w:szCs w:val="21"/>
              </w:rPr>
              <w:t>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r>
              <w:rPr>
                <w:rFonts w:hint="eastAsia" w:ascii="仿宋" w:hAnsi="仿宋" w:eastAsia="仿宋"/>
                <w:color w:val="000000"/>
                <w:szCs w:val="21"/>
                <w:lang w:eastAsia="zh-CN"/>
              </w:rPr>
              <w:t>”</w:t>
            </w:r>
            <w:r>
              <w:rPr>
                <w:rFonts w:hint="eastAsia" w:ascii="仿宋" w:hAnsi="仿宋" w:eastAsia="仿宋"/>
                <w:color w:val="000000"/>
                <w:szCs w:val="21"/>
              </w:rPr>
              <w:t>。</w:t>
            </w:r>
          </w:p>
        </w:tc>
        <w:tc>
          <w:tcPr>
            <w:tcW w:w="5916" w:type="dxa"/>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1.受理责任（受理岗）：</w:t>
            </w:r>
            <w:r>
              <w:rPr>
                <w:rFonts w:hint="eastAsia" w:ascii="仿宋" w:hAnsi="仿宋" w:eastAsia="仿宋"/>
                <w:color w:val="000000"/>
                <w:szCs w:val="21"/>
                <w:lang w:eastAsia="zh-CN"/>
              </w:rPr>
              <w:t>前台</w:t>
            </w:r>
            <w:r>
              <w:rPr>
                <w:rFonts w:hint="eastAsia" w:ascii="仿宋" w:hAnsi="仿宋" w:eastAsia="仿宋"/>
                <w:color w:val="000000"/>
                <w:szCs w:val="21"/>
              </w:rPr>
              <w:t>接收行政许可申请材料；经</w:t>
            </w:r>
            <w:r>
              <w:rPr>
                <w:rFonts w:hint="eastAsia" w:ascii="仿宋" w:hAnsi="仿宋" w:eastAsia="仿宋"/>
                <w:color w:val="000000"/>
                <w:szCs w:val="21"/>
                <w:lang w:eastAsia="zh-CN"/>
              </w:rPr>
              <w:t>行政审批科</w:t>
            </w:r>
            <w:r>
              <w:rPr>
                <w:rFonts w:hint="eastAsia" w:ascii="仿宋" w:hAnsi="仿宋" w:eastAsia="仿宋"/>
                <w:color w:val="000000"/>
                <w:szCs w:val="21"/>
              </w:rPr>
              <w:t>审</w:t>
            </w:r>
            <w:r>
              <w:rPr>
                <w:rFonts w:hint="eastAsia" w:ascii="仿宋" w:hAnsi="仿宋" w:eastAsia="仿宋"/>
                <w:color w:val="000000"/>
                <w:szCs w:val="21"/>
                <w:lang w:eastAsia="zh-CN"/>
              </w:rPr>
              <w:t>核</w:t>
            </w:r>
            <w:r>
              <w:rPr>
                <w:rFonts w:hint="eastAsia" w:ascii="仿宋" w:hAnsi="仿宋" w:eastAsia="仿宋"/>
                <w:color w:val="000000"/>
                <w:szCs w:val="21"/>
              </w:rPr>
              <w:t>，依法受理或不予受理；不予受理的依法告知理由；申请材料不齐全的，一次性告知需补正的材料。</w:t>
            </w:r>
          </w:p>
        </w:tc>
        <w:tc>
          <w:tcPr>
            <w:tcW w:w="1150"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val="en-US" w:eastAsia="zh-CN"/>
              </w:rPr>
              <w:t>0.2</w:t>
            </w:r>
            <w:r>
              <w:rPr>
                <w:rFonts w:hint="eastAsia" w:ascii="仿宋" w:hAnsi="仿宋" w:eastAsia="仿宋"/>
                <w:color w:val="000000"/>
                <w:szCs w:val="21"/>
              </w:rPr>
              <w:t>日</w:t>
            </w:r>
          </w:p>
        </w:tc>
        <w:tc>
          <w:tcPr>
            <w:tcW w:w="1134" w:type="dxa"/>
            <w:vMerge w:val="restart"/>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否</w:t>
            </w:r>
          </w:p>
        </w:tc>
        <w:tc>
          <w:tcPr>
            <w:tcW w:w="2723" w:type="dxa"/>
            <w:vMerge w:val="restart"/>
            <w:vAlign w:val="top"/>
          </w:tcPr>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行政机关未履行法定职责或者违法行使职权的，</w:t>
            </w:r>
            <w:r>
              <w:rPr>
                <w:rFonts w:ascii="仿宋" w:hAnsi="仿宋" w:eastAsia="仿宋"/>
                <w:color w:val="000000"/>
                <w:szCs w:val="21"/>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rPr>
              <w:t xml:space="preserve">。     </w:t>
            </w:r>
          </w:p>
          <w:p>
            <w:pPr>
              <w:spacing w:line="280" w:lineRule="exact"/>
              <w:ind w:firstLine="420" w:firstLineChars="200"/>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行政执法人员未履行法定职责或者违法行使职权的，</w:t>
            </w:r>
            <w:r>
              <w:rPr>
                <w:rFonts w:ascii="仿宋" w:hAnsi="仿宋" w:eastAsia="仿宋"/>
                <w:color w:val="000000"/>
                <w:szCs w:val="21"/>
              </w:rPr>
              <w:t>视情节轻重给予批评教育、离岗培训、调离执法岗位、取消行政执法资格等处理或者依法给予处分；构成犯罪的，依法追究刑事责任</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vAlign w:val="center"/>
          </w:tcPr>
          <w:p>
            <w:pPr>
              <w:spacing w:line="280" w:lineRule="exact"/>
            </w:pPr>
          </w:p>
        </w:tc>
        <w:tc>
          <w:tcPr>
            <w:tcW w:w="1147" w:type="dxa"/>
            <w:vMerge w:val="continue"/>
            <w:vAlign w:val="center"/>
          </w:tcPr>
          <w:p>
            <w:pPr>
              <w:spacing w:line="280" w:lineRule="exact"/>
            </w:pPr>
          </w:p>
        </w:tc>
        <w:tc>
          <w:tcPr>
            <w:tcW w:w="2106" w:type="dxa"/>
            <w:vMerge w:val="continue"/>
            <w:vAlign w:val="center"/>
          </w:tcPr>
          <w:p>
            <w:pPr>
              <w:spacing w:line="280" w:lineRule="exact"/>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2.审查责任（审查岗）：</w:t>
            </w:r>
            <w:r>
              <w:rPr>
                <w:rFonts w:hint="eastAsia" w:ascii="仿宋" w:hAnsi="仿宋" w:eastAsia="仿宋"/>
                <w:color w:val="000000"/>
                <w:szCs w:val="21"/>
                <w:lang w:eastAsia="zh-CN"/>
              </w:rPr>
              <w:t>行政审批科</w:t>
            </w:r>
            <w:r>
              <w:rPr>
                <w:rFonts w:hint="eastAsia" w:ascii="仿宋" w:hAnsi="仿宋" w:eastAsia="仿宋"/>
                <w:color w:val="000000"/>
                <w:szCs w:val="21"/>
              </w:rPr>
              <w:t>进行材料审查；涉及他人重大利益的，告知申请人和利害关系人陈述申辩权；依法应当听证或行政机关认为需要听证的，告知申请人、利害关系人听证权。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0.3</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3.决定责任（决定岗)：</w:t>
            </w:r>
            <w:r>
              <w:rPr>
                <w:rFonts w:hint="eastAsia" w:ascii="仿宋" w:hAnsi="仿宋" w:eastAsia="仿宋"/>
                <w:color w:val="000000"/>
                <w:szCs w:val="21"/>
                <w:lang w:eastAsia="zh-CN"/>
              </w:rPr>
              <w:t>行政审批科</w:t>
            </w:r>
            <w:r>
              <w:rPr>
                <w:rFonts w:hint="eastAsia" w:ascii="仿宋" w:hAnsi="仿宋" w:eastAsia="仿宋"/>
                <w:color w:val="000000"/>
                <w:szCs w:val="21"/>
              </w:rPr>
              <w:t>审批后作出</w:t>
            </w:r>
            <w:r>
              <w:rPr>
                <w:rFonts w:hint="eastAsia" w:ascii="仿宋" w:hAnsi="仿宋" w:eastAsia="仿宋"/>
                <w:color w:val="000000"/>
                <w:szCs w:val="21"/>
                <w:lang w:eastAsia="zh-CN"/>
              </w:rPr>
              <w:t>审核</w:t>
            </w:r>
            <w:r>
              <w:rPr>
                <w:rFonts w:hint="eastAsia" w:ascii="仿宋" w:hAnsi="仿宋" w:eastAsia="仿宋"/>
                <w:color w:val="000000"/>
                <w:szCs w:val="21"/>
              </w:rPr>
              <w:t>决定；对于不予行政许可的，书面告知申请人，并说明理由。</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0.3</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4.送达责任(送达岗）：</w:t>
            </w:r>
            <w:r>
              <w:rPr>
                <w:rFonts w:hint="eastAsia" w:ascii="仿宋" w:hAnsi="仿宋" w:eastAsia="仿宋"/>
                <w:color w:val="000000"/>
                <w:szCs w:val="21"/>
                <w:lang w:eastAsia="zh-CN"/>
              </w:rPr>
              <w:t>前台</w:t>
            </w:r>
            <w:r>
              <w:rPr>
                <w:rFonts w:hint="eastAsia" w:ascii="仿宋" w:hAnsi="仿宋" w:eastAsia="仿宋"/>
                <w:color w:val="000000"/>
                <w:szCs w:val="21"/>
              </w:rPr>
              <w:t>制作送达文书；将行政许可决定送达当事人；对于准予许可决定，</w:t>
            </w:r>
            <w:r>
              <w:rPr>
                <w:rFonts w:hint="eastAsia" w:ascii="仿宋" w:hAnsi="仿宋" w:eastAsia="仿宋"/>
                <w:color w:val="000000"/>
                <w:szCs w:val="21"/>
                <w:lang w:eastAsia="zh-CN"/>
              </w:rPr>
              <w:t>在商务部业务统一平台上</w:t>
            </w:r>
            <w:r>
              <w:rPr>
                <w:rFonts w:hint="eastAsia" w:ascii="仿宋" w:hAnsi="仿宋" w:eastAsia="仿宋"/>
                <w:color w:val="000000"/>
                <w:szCs w:val="21"/>
              </w:rPr>
              <w:t>公开供公众查询。</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0.2</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5.事后监管责任（事后监管岗）：加强对准予从事行政许可事项活动情况监督检查。</w:t>
            </w:r>
          </w:p>
        </w:tc>
        <w:tc>
          <w:tcPr>
            <w:tcW w:w="1150" w:type="dxa"/>
            <w:vAlign w:val="center"/>
          </w:tcPr>
          <w:p>
            <w:pPr>
              <w:spacing w:line="280" w:lineRule="exact"/>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6.法律、法规、规章规定的其他应履行的责任事项。</w:t>
            </w:r>
          </w:p>
        </w:tc>
        <w:tc>
          <w:tcPr>
            <w:tcW w:w="1150" w:type="dxa"/>
            <w:vAlign w:val="center"/>
          </w:tcPr>
          <w:p>
            <w:pPr>
              <w:spacing w:line="280" w:lineRule="exact"/>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行</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政</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许</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可</w:t>
            </w:r>
          </w:p>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类</w:t>
            </w:r>
          </w:p>
        </w:tc>
        <w:tc>
          <w:tcPr>
            <w:tcW w:w="1147" w:type="dxa"/>
            <w:vMerge w:val="restart"/>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"http://ly.hnzwfw.gov.cn/art/2019/9/29/art_320_56310149.html" \o "对外劳务合作经营资格核准" \t "http://ly.hnzwfw.gov.cn/hnzw/bmft/index/_blank" </w:instrText>
            </w:r>
            <w:r>
              <w:rPr>
                <w:rFonts w:hint="eastAsia" w:ascii="仿宋" w:hAnsi="仿宋" w:eastAsia="仿宋"/>
                <w:color w:val="000000"/>
                <w:szCs w:val="21"/>
              </w:rPr>
              <w:fldChar w:fldCharType="separate"/>
            </w:r>
            <w:r>
              <w:rPr>
                <w:rFonts w:hint="eastAsia" w:ascii="仿宋" w:hAnsi="仿宋" w:eastAsia="仿宋"/>
                <w:color w:val="000000"/>
                <w:szCs w:val="21"/>
              </w:rPr>
              <w:t>对外劳务合作经营资格核准</w:t>
            </w:r>
            <w:r>
              <w:rPr>
                <w:rFonts w:hint="eastAsia" w:ascii="仿宋" w:hAnsi="仿宋" w:eastAsia="仿宋"/>
                <w:color w:val="000000"/>
                <w:szCs w:val="21"/>
              </w:rPr>
              <w:fldChar w:fldCharType="end"/>
            </w:r>
          </w:p>
        </w:tc>
        <w:tc>
          <w:tcPr>
            <w:tcW w:w="2106" w:type="dxa"/>
            <w:vMerge w:val="restart"/>
            <w:vAlign w:val="center"/>
          </w:tcPr>
          <w:p>
            <w:pPr>
              <w:spacing w:line="280" w:lineRule="exact"/>
              <w:jc w:val="left"/>
              <w:rPr>
                <w:rFonts w:hint="eastAsia" w:ascii="仿宋" w:hAnsi="仿宋" w:eastAsia="仿宋"/>
                <w:color w:val="000000"/>
                <w:szCs w:val="21"/>
              </w:rPr>
            </w:pPr>
            <w:r>
              <w:rPr>
                <w:rFonts w:hint="eastAsia" w:ascii="仿宋" w:hAnsi="仿宋" w:eastAsia="仿宋"/>
                <w:color w:val="000000"/>
                <w:szCs w:val="21"/>
              </w:rPr>
              <w:t>1.《中华人民共和国对外贸易法》第</w:t>
            </w:r>
            <w:r>
              <w:rPr>
                <w:rFonts w:hint="eastAsia" w:ascii="仿宋" w:hAnsi="仿宋" w:eastAsia="仿宋"/>
                <w:color w:val="000000"/>
                <w:szCs w:val="21"/>
                <w:lang w:eastAsia="zh-CN"/>
              </w:rPr>
              <w:t>十</w:t>
            </w:r>
            <w:r>
              <w:rPr>
                <w:rFonts w:hint="eastAsia" w:ascii="仿宋" w:hAnsi="仿宋" w:eastAsia="仿宋"/>
                <w:color w:val="000000"/>
                <w:szCs w:val="21"/>
              </w:rPr>
              <w:t>条：“</w:t>
            </w:r>
            <w:r>
              <w:rPr>
                <w:rFonts w:hint="eastAsia" w:ascii="仿宋" w:hAnsi="仿宋" w:eastAsia="仿宋" w:cs="仿宋_GB2312"/>
                <w:color w:val="000000"/>
                <w:szCs w:val="21"/>
              </w:rPr>
              <w:t>从事对外劳务合作的单位，应当具备相应的资质。具体办法由国务院规定</w:t>
            </w:r>
            <w:r>
              <w:rPr>
                <w:rFonts w:hint="eastAsia" w:ascii="仿宋" w:hAnsi="仿宋" w:eastAsia="仿宋"/>
                <w:color w:val="000000"/>
                <w:szCs w:val="21"/>
              </w:rPr>
              <w:t>”。</w:t>
            </w:r>
          </w:p>
          <w:p>
            <w:pPr>
              <w:spacing w:line="280" w:lineRule="exact"/>
              <w:jc w:val="left"/>
              <w:rPr>
                <w:rFonts w:hint="eastAsia" w:ascii="仿宋" w:hAnsi="仿宋" w:eastAsia="仿宋"/>
                <w:color w:val="000000"/>
                <w:szCs w:val="21"/>
              </w:rPr>
            </w:pPr>
          </w:p>
          <w:p>
            <w:pPr>
              <w:spacing w:line="280" w:lineRule="exact"/>
              <w:jc w:val="lef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2.《对外劳务合作管理条例》第</w:t>
            </w:r>
            <w:r>
              <w:rPr>
                <w:rFonts w:hint="eastAsia" w:ascii="仿宋" w:hAnsi="仿宋" w:eastAsia="仿宋"/>
                <w:color w:val="000000"/>
                <w:szCs w:val="21"/>
                <w:lang w:eastAsia="zh-CN"/>
              </w:rPr>
              <w:t>五</w:t>
            </w:r>
            <w:r>
              <w:rPr>
                <w:rFonts w:hint="eastAsia" w:ascii="仿宋" w:hAnsi="仿宋" w:eastAsia="仿宋"/>
                <w:color w:val="000000"/>
                <w:szCs w:val="21"/>
              </w:rPr>
              <w:t>条：“</w:t>
            </w:r>
            <w:r>
              <w:rPr>
                <w:rFonts w:hint="eastAsia" w:ascii="仿宋" w:hAnsi="仿宋" w:eastAsia="仿宋" w:cs="仿宋_GB2312"/>
                <w:color w:val="000000"/>
                <w:szCs w:val="21"/>
              </w:rPr>
              <w:t>从事对外劳务合作，应当按照省、自治区、直辖市人民政府的规定，经省级或者设区的市级人民政府商务主管部门批准，取得对外劳务合作经营资格</w:t>
            </w:r>
            <w:r>
              <w:rPr>
                <w:rFonts w:hint="eastAsia" w:ascii="仿宋" w:hAnsi="仿宋" w:eastAsia="仿宋" w:cs="仿宋_GB2312"/>
                <w:color w:val="000000"/>
                <w:szCs w:val="21"/>
                <w:lang w:eastAsia="zh-CN"/>
              </w:rPr>
              <w:t>”</w:t>
            </w:r>
            <w:r>
              <w:rPr>
                <w:rFonts w:hint="eastAsia" w:ascii="仿宋" w:hAnsi="仿宋" w:eastAsia="仿宋" w:cs="仿宋_GB2312"/>
                <w:color w:val="000000"/>
                <w:szCs w:val="21"/>
              </w:rPr>
              <w:t>。第七条：</w:t>
            </w:r>
            <w:r>
              <w:rPr>
                <w:rFonts w:hint="eastAsia" w:ascii="仿宋" w:hAnsi="仿宋" w:eastAsia="仿宋" w:cs="仿宋_GB2312"/>
                <w:color w:val="000000"/>
                <w:szCs w:val="21"/>
                <w:lang w:eastAsia="zh-CN"/>
              </w:rPr>
              <w:t>“</w:t>
            </w:r>
            <w:r>
              <w:rPr>
                <w:rFonts w:hint="eastAsia" w:ascii="仿宋" w:hAnsi="仿宋" w:eastAsia="仿宋" w:cs="仿宋_GB2312"/>
                <w:color w:val="000000"/>
                <w:szCs w:val="21"/>
              </w:rPr>
              <w:t>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w:t>
            </w:r>
            <w:r>
              <w:rPr>
                <w:rFonts w:hint="eastAsia" w:ascii="仿宋" w:hAnsi="仿宋" w:eastAsia="仿宋"/>
                <w:color w:val="000000"/>
                <w:szCs w:val="21"/>
              </w:rPr>
              <w:t>”。</w:t>
            </w:r>
          </w:p>
        </w:tc>
        <w:tc>
          <w:tcPr>
            <w:tcW w:w="5916" w:type="dxa"/>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1.受理责任（受理岗）：</w:t>
            </w:r>
            <w:r>
              <w:rPr>
                <w:rFonts w:hint="eastAsia" w:ascii="仿宋" w:hAnsi="仿宋" w:eastAsia="仿宋"/>
                <w:color w:val="000000"/>
                <w:szCs w:val="21"/>
                <w:lang w:eastAsia="zh-CN"/>
              </w:rPr>
              <w:t>前台</w:t>
            </w:r>
            <w:r>
              <w:rPr>
                <w:rFonts w:hint="eastAsia" w:ascii="仿宋" w:hAnsi="仿宋" w:eastAsia="仿宋"/>
                <w:color w:val="000000"/>
                <w:szCs w:val="21"/>
              </w:rPr>
              <w:t>接收行政许可申请材料；经</w:t>
            </w:r>
            <w:r>
              <w:rPr>
                <w:rFonts w:hint="eastAsia" w:ascii="仿宋" w:hAnsi="仿宋" w:eastAsia="仿宋"/>
                <w:color w:val="000000"/>
                <w:szCs w:val="21"/>
                <w:lang w:eastAsia="zh-CN"/>
              </w:rPr>
              <w:t>行政审批科</w:t>
            </w:r>
            <w:r>
              <w:rPr>
                <w:rFonts w:hint="eastAsia" w:ascii="仿宋" w:hAnsi="仿宋" w:eastAsia="仿宋"/>
                <w:color w:val="000000"/>
                <w:szCs w:val="21"/>
              </w:rPr>
              <w:t>审</w:t>
            </w:r>
            <w:r>
              <w:rPr>
                <w:rFonts w:hint="eastAsia" w:ascii="仿宋" w:hAnsi="仿宋" w:eastAsia="仿宋"/>
                <w:color w:val="000000"/>
                <w:szCs w:val="21"/>
                <w:lang w:eastAsia="zh-CN"/>
              </w:rPr>
              <w:t>核</w:t>
            </w:r>
            <w:r>
              <w:rPr>
                <w:rFonts w:hint="eastAsia" w:ascii="仿宋" w:hAnsi="仿宋" w:eastAsia="仿宋"/>
                <w:color w:val="000000"/>
                <w:szCs w:val="21"/>
              </w:rPr>
              <w:t>，依法受理或不予受理；不予受理的依法告知理由；申请材料不齐全的，一次性告知需补正的材料。</w:t>
            </w:r>
          </w:p>
        </w:tc>
        <w:tc>
          <w:tcPr>
            <w:tcW w:w="1150"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val="en-US" w:eastAsia="zh-CN"/>
              </w:rPr>
              <w:t>1</w:t>
            </w:r>
            <w:r>
              <w:rPr>
                <w:rFonts w:hint="eastAsia" w:ascii="仿宋" w:hAnsi="仿宋" w:eastAsia="仿宋"/>
                <w:color w:val="000000"/>
                <w:szCs w:val="21"/>
              </w:rPr>
              <w:t>日</w:t>
            </w:r>
          </w:p>
        </w:tc>
        <w:tc>
          <w:tcPr>
            <w:tcW w:w="1134" w:type="dxa"/>
            <w:vMerge w:val="restart"/>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否</w:t>
            </w:r>
          </w:p>
        </w:tc>
        <w:tc>
          <w:tcPr>
            <w:tcW w:w="2723" w:type="dxa"/>
            <w:vMerge w:val="restart"/>
            <w:vAlign w:val="top"/>
          </w:tcPr>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行政机关未履行法定职责或者违法行使职权的，</w:t>
            </w:r>
            <w:r>
              <w:rPr>
                <w:rFonts w:ascii="仿宋" w:hAnsi="仿宋" w:eastAsia="仿宋"/>
                <w:color w:val="000000"/>
                <w:szCs w:val="21"/>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rPr>
              <w:t xml:space="preserve">。     </w:t>
            </w:r>
          </w:p>
          <w:p>
            <w:pPr>
              <w:spacing w:line="280" w:lineRule="exact"/>
              <w:ind w:firstLine="420" w:firstLineChars="200"/>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行政执法人员未履行法定职责或者违法行使职权的，</w:t>
            </w:r>
            <w:r>
              <w:rPr>
                <w:rFonts w:ascii="仿宋" w:hAnsi="仿宋" w:eastAsia="仿宋"/>
                <w:color w:val="000000"/>
                <w:szCs w:val="21"/>
              </w:rPr>
              <w:t>视情节轻重给予批评教育、离岗培训、调离执法岗位、取消行政执法资格等处理或者依法给予处分；构成犯罪的，依法追究刑事责任</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pPr>
          </w:p>
        </w:tc>
        <w:tc>
          <w:tcPr>
            <w:tcW w:w="1147" w:type="dxa"/>
            <w:vMerge w:val="continue"/>
            <w:vAlign w:val="center"/>
          </w:tcPr>
          <w:p>
            <w:pPr>
              <w:spacing w:line="280" w:lineRule="exact"/>
            </w:pPr>
          </w:p>
        </w:tc>
        <w:tc>
          <w:tcPr>
            <w:tcW w:w="2106" w:type="dxa"/>
            <w:vMerge w:val="continue"/>
            <w:vAlign w:val="center"/>
          </w:tcPr>
          <w:p>
            <w:pPr>
              <w:spacing w:line="280" w:lineRule="exact"/>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2.审查责任（审查岗）：</w:t>
            </w:r>
            <w:r>
              <w:rPr>
                <w:rFonts w:hint="eastAsia" w:ascii="仿宋" w:hAnsi="仿宋" w:eastAsia="仿宋"/>
                <w:color w:val="000000"/>
                <w:szCs w:val="21"/>
                <w:lang w:eastAsia="zh-CN"/>
              </w:rPr>
              <w:t>行政审批科</w:t>
            </w:r>
            <w:r>
              <w:rPr>
                <w:rFonts w:hint="eastAsia" w:ascii="仿宋" w:hAnsi="仿宋" w:eastAsia="仿宋"/>
                <w:color w:val="000000"/>
                <w:szCs w:val="21"/>
              </w:rPr>
              <w:t>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3.决定责任（决定岗)：</w:t>
            </w:r>
            <w:r>
              <w:rPr>
                <w:rFonts w:hint="eastAsia" w:ascii="仿宋" w:hAnsi="仿宋" w:eastAsia="仿宋"/>
                <w:color w:val="000000"/>
                <w:szCs w:val="21"/>
                <w:lang w:eastAsia="zh-CN"/>
              </w:rPr>
              <w:t>分管领导</w:t>
            </w:r>
            <w:r>
              <w:rPr>
                <w:rFonts w:hint="eastAsia" w:ascii="仿宋" w:hAnsi="仿宋" w:eastAsia="仿宋"/>
                <w:color w:val="000000"/>
                <w:szCs w:val="21"/>
              </w:rPr>
              <w:t>审批后作出</w:t>
            </w:r>
            <w:r>
              <w:rPr>
                <w:rFonts w:hint="eastAsia" w:ascii="仿宋" w:hAnsi="仿宋" w:eastAsia="仿宋"/>
                <w:color w:val="000000"/>
                <w:szCs w:val="21"/>
                <w:lang w:eastAsia="zh-CN"/>
              </w:rPr>
              <w:t>审核</w:t>
            </w:r>
            <w:r>
              <w:rPr>
                <w:rFonts w:hint="eastAsia" w:ascii="仿宋" w:hAnsi="仿宋" w:eastAsia="仿宋"/>
                <w:color w:val="000000"/>
                <w:szCs w:val="21"/>
              </w:rPr>
              <w:t>决定；对于不予行政许可的，书面告知申请人，并说明理由。</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4.送达责任(送达岗）：</w:t>
            </w:r>
            <w:r>
              <w:rPr>
                <w:rFonts w:hint="eastAsia" w:ascii="仿宋" w:hAnsi="仿宋" w:eastAsia="仿宋"/>
                <w:color w:val="000000"/>
                <w:szCs w:val="21"/>
                <w:lang w:eastAsia="zh-CN"/>
              </w:rPr>
              <w:t>前台</w:t>
            </w:r>
            <w:r>
              <w:rPr>
                <w:rFonts w:hint="eastAsia" w:ascii="仿宋" w:hAnsi="仿宋" w:eastAsia="仿宋"/>
                <w:color w:val="000000"/>
                <w:szCs w:val="21"/>
              </w:rPr>
              <w:t>制作送达文书；将行政许可决定送达当事人；对于准予许可决定，</w:t>
            </w:r>
            <w:r>
              <w:rPr>
                <w:rFonts w:hint="eastAsia" w:ascii="仿宋" w:hAnsi="仿宋" w:eastAsia="仿宋"/>
                <w:color w:val="000000"/>
                <w:szCs w:val="21"/>
                <w:lang w:eastAsia="zh-CN"/>
              </w:rPr>
              <w:t>在局网站上</w:t>
            </w:r>
            <w:r>
              <w:rPr>
                <w:rFonts w:hint="eastAsia" w:ascii="仿宋" w:hAnsi="仿宋" w:eastAsia="仿宋"/>
                <w:color w:val="000000"/>
                <w:szCs w:val="21"/>
              </w:rPr>
              <w:t>公开供公众查询。</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1</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5.事后监管责任（事后监管岗）：加强对准予从事行政许可事项活动情况监督检查。</w:t>
            </w:r>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6.法律、法规、规章规定的其他应履行的责任事项。</w:t>
            </w:r>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行</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政</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许</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可</w:t>
            </w:r>
          </w:p>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类</w:t>
            </w:r>
          </w:p>
        </w:tc>
        <w:tc>
          <w:tcPr>
            <w:tcW w:w="1147" w:type="dxa"/>
            <w:vMerge w:val="restart"/>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"http://ly.hnzwfw.gov.cn/art/2019/9/27/art_320_56204508.html" \o "外国非企业经济组织在华设立常驻代表机构初审" \t "http://ly.hnzwfw.gov.cn/hnzw/bmft/index/_blank" </w:instrText>
            </w:r>
            <w:r>
              <w:rPr>
                <w:rFonts w:hint="eastAsia" w:ascii="仿宋" w:hAnsi="仿宋" w:eastAsia="仿宋"/>
                <w:color w:val="000000"/>
                <w:szCs w:val="21"/>
              </w:rPr>
              <w:fldChar w:fldCharType="separate"/>
            </w:r>
            <w:r>
              <w:rPr>
                <w:rFonts w:hint="eastAsia" w:ascii="仿宋" w:hAnsi="仿宋" w:eastAsia="仿宋"/>
                <w:color w:val="000000"/>
                <w:szCs w:val="21"/>
              </w:rPr>
              <w:t>外国非企业经济组织在华设立常驻代表机构初审</w:t>
            </w:r>
            <w:r>
              <w:rPr>
                <w:rFonts w:hint="eastAsia" w:ascii="仿宋" w:hAnsi="仿宋" w:eastAsia="仿宋"/>
                <w:color w:val="000000"/>
                <w:szCs w:val="21"/>
              </w:rPr>
              <w:fldChar w:fldCharType="end"/>
            </w:r>
          </w:p>
        </w:tc>
        <w:tc>
          <w:tcPr>
            <w:tcW w:w="2106" w:type="dxa"/>
            <w:vMerge w:val="restart"/>
            <w:vAlign w:val="center"/>
          </w:tcPr>
          <w:p>
            <w:pPr>
              <w:spacing w:line="280" w:lineRule="exact"/>
              <w:jc w:val="left"/>
              <w:rPr>
                <w:rFonts w:hint="eastAsia" w:ascii="仿宋" w:hAnsi="仿宋" w:eastAsia="仿宋"/>
                <w:color w:val="000000"/>
                <w:szCs w:val="21"/>
              </w:rPr>
            </w:pPr>
            <w:r>
              <w:rPr>
                <w:rFonts w:hint="eastAsia" w:ascii="仿宋" w:hAnsi="仿宋" w:eastAsia="仿宋"/>
                <w:color w:val="000000"/>
                <w:szCs w:val="21"/>
              </w:rPr>
              <w:t>1.《国务院对确需保留的行政审批项目设定行政许可的决定》第189项：</w:t>
            </w:r>
            <w:r>
              <w:rPr>
                <w:rFonts w:hint="eastAsia" w:ascii="仿宋" w:hAnsi="仿宋" w:eastAsia="仿宋"/>
                <w:color w:val="000000"/>
                <w:szCs w:val="21"/>
                <w:lang w:eastAsia="zh-CN"/>
              </w:rPr>
              <w:t>“</w:t>
            </w:r>
            <w:r>
              <w:rPr>
                <w:rFonts w:hint="eastAsia" w:ascii="仿宋" w:hAnsi="仿宋" w:eastAsia="仿宋"/>
                <w:color w:val="000000"/>
                <w:szCs w:val="21"/>
              </w:rPr>
              <w:t>外国非企业经济组织在华设立常驻代表机构审批，实施机关：商务部</w:t>
            </w:r>
            <w:r>
              <w:rPr>
                <w:rFonts w:hint="eastAsia" w:ascii="仿宋" w:hAnsi="仿宋" w:eastAsia="仿宋"/>
                <w:color w:val="000000"/>
                <w:szCs w:val="21"/>
                <w:lang w:eastAsia="zh-CN"/>
              </w:rPr>
              <w:t>”</w:t>
            </w:r>
            <w:r>
              <w:rPr>
                <w:rFonts w:hint="eastAsia" w:ascii="仿宋" w:hAnsi="仿宋" w:eastAsia="仿宋"/>
                <w:color w:val="000000"/>
                <w:szCs w:val="21"/>
              </w:rPr>
              <w:t>。</w:t>
            </w:r>
          </w:p>
          <w:p>
            <w:pPr>
              <w:spacing w:line="280" w:lineRule="exact"/>
              <w:jc w:val="left"/>
              <w:rPr>
                <w:rFonts w:hint="eastAsia" w:ascii="仿宋" w:hAnsi="仿宋" w:eastAsia="仿宋"/>
                <w:color w:val="000000"/>
                <w:szCs w:val="21"/>
              </w:rPr>
            </w:pPr>
          </w:p>
          <w:p>
            <w:pPr>
              <w:spacing w:line="280" w:lineRule="exact"/>
              <w:jc w:val="lef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2.《国务院关于第五批取消和下放管理层级行政审批项目的决定》</w:t>
            </w:r>
            <w:r>
              <w:rPr>
                <w:rFonts w:hint="eastAsia" w:ascii="仿宋" w:hAnsi="仿宋" w:eastAsia="仿宋"/>
                <w:color w:val="000000"/>
                <w:szCs w:val="21"/>
                <w:lang w:eastAsia="zh-CN"/>
              </w:rPr>
              <w:t>下放管理层级目录</w:t>
            </w:r>
            <w:r>
              <w:rPr>
                <w:rFonts w:hint="eastAsia" w:ascii="仿宋" w:hAnsi="仿宋" w:eastAsia="仿宋"/>
                <w:color w:val="000000"/>
                <w:szCs w:val="21"/>
              </w:rPr>
              <w:t>第</w:t>
            </w:r>
            <w:r>
              <w:rPr>
                <w:rFonts w:hint="eastAsia" w:ascii="仿宋" w:hAnsi="仿宋" w:eastAsia="仿宋"/>
                <w:color w:val="000000"/>
                <w:szCs w:val="21"/>
                <w:lang w:val="en-US" w:eastAsia="zh-CN"/>
              </w:rPr>
              <w:t>3项</w:t>
            </w:r>
            <w:r>
              <w:rPr>
                <w:rFonts w:hint="eastAsia" w:ascii="仿宋" w:hAnsi="仿宋" w:eastAsia="仿宋"/>
                <w:color w:val="000000"/>
                <w:szCs w:val="21"/>
              </w:rPr>
              <w:t>：“</w:t>
            </w:r>
            <w:r>
              <w:rPr>
                <w:rFonts w:hint="eastAsia" w:ascii="仿宋" w:hAnsi="仿宋" w:eastAsia="仿宋" w:cs="仿宋_GB2312"/>
                <w:color w:val="000000"/>
                <w:szCs w:val="21"/>
              </w:rPr>
              <w:t>外国非企业经济组织在华设立常驻代表机构审批，下放省级省级人民政府商务主管部门</w:t>
            </w:r>
            <w:r>
              <w:rPr>
                <w:rFonts w:hint="eastAsia" w:ascii="仿宋" w:hAnsi="仿宋" w:eastAsia="仿宋"/>
                <w:color w:val="000000"/>
                <w:szCs w:val="21"/>
              </w:rPr>
              <w:t>”。</w:t>
            </w:r>
          </w:p>
        </w:tc>
        <w:tc>
          <w:tcPr>
            <w:tcW w:w="5916" w:type="dxa"/>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1.受理责任（受理岗）：</w:t>
            </w:r>
            <w:r>
              <w:rPr>
                <w:rFonts w:hint="eastAsia" w:ascii="仿宋" w:hAnsi="仿宋" w:eastAsia="仿宋"/>
                <w:color w:val="000000"/>
                <w:szCs w:val="21"/>
                <w:lang w:eastAsia="zh-CN"/>
              </w:rPr>
              <w:t>前台</w:t>
            </w:r>
            <w:r>
              <w:rPr>
                <w:rFonts w:hint="eastAsia" w:ascii="仿宋" w:hAnsi="仿宋" w:eastAsia="仿宋"/>
                <w:color w:val="000000"/>
                <w:szCs w:val="21"/>
              </w:rPr>
              <w:t>接收行政许可申请材料；经</w:t>
            </w:r>
            <w:r>
              <w:rPr>
                <w:rFonts w:hint="eastAsia" w:ascii="仿宋" w:hAnsi="仿宋" w:eastAsia="仿宋"/>
                <w:color w:val="000000"/>
                <w:szCs w:val="21"/>
                <w:lang w:eastAsia="zh-CN"/>
              </w:rPr>
              <w:t>行政审批科</w:t>
            </w:r>
            <w:r>
              <w:rPr>
                <w:rFonts w:hint="eastAsia" w:ascii="仿宋" w:hAnsi="仿宋" w:eastAsia="仿宋"/>
                <w:color w:val="000000"/>
                <w:szCs w:val="21"/>
              </w:rPr>
              <w:t>审</w:t>
            </w:r>
            <w:r>
              <w:rPr>
                <w:rFonts w:hint="eastAsia" w:ascii="仿宋" w:hAnsi="仿宋" w:eastAsia="仿宋"/>
                <w:color w:val="000000"/>
                <w:szCs w:val="21"/>
                <w:lang w:eastAsia="zh-CN"/>
              </w:rPr>
              <w:t>核</w:t>
            </w:r>
            <w:r>
              <w:rPr>
                <w:rFonts w:hint="eastAsia" w:ascii="仿宋" w:hAnsi="仿宋" w:eastAsia="仿宋"/>
                <w:color w:val="000000"/>
                <w:szCs w:val="21"/>
              </w:rPr>
              <w:t>，依法受理或不予受理；不予受理的依法告知理由；申请材料不齐全的，一次性告知需补正的材料。</w:t>
            </w:r>
          </w:p>
        </w:tc>
        <w:tc>
          <w:tcPr>
            <w:tcW w:w="1150"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val="en-US" w:eastAsia="zh-CN"/>
              </w:rPr>
              <w:t>5</w:t>
            </w:r>
            <w:r>
              <w:rPr>
                <w:rFonts w:hint="eastAsia" w:ascii="仿宋" w:hAnsi="仿宋" w:eastAsia="仿宋"/>
                <w:color w:val="000000"/>
                <w:szCs w:val="21"/>
              </w:rPr>
              <w:t>日</w:t>
            </w:r>
          </w:p>
        </w:tc>
        <w:tc>
          <w:tcPr>
            <w:tcW w:w="1134" w:type="dxa"/>
            <w:vMerge w:val="restart"/>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否</w:t>
            </w:r>
          </w:p>
        </w:tc>
        <w:tc>
          <w:tcPr>
            <w:tcW w:w="2723" w:type="dxa"/>
            <w:vMerge w:val="restart"/>
            <w:vAlign w:val="top"/>
          </w:tcPr>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行政机关未履行法定职责或者违法行使职权的，</w:t>
            </w:r>
            <w:r>
              <w:rPr>
                <w:rFonts w:ascii="仿宋" w:hAnsi="仿宋" w:eastAsia="仿宋"/>
                <w:color w:val="000000"/>
                <w:szCs w:val="21"/>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rPr>
              <w:t xml:space="preserve">。     </w:t>
            </w:r>
          </w:p>
          <w:p>
            <w:pPr>
              <w:spacing w:line="280" w:lineRule="exact"/>
              <w:ind w:firstLine="420" w:firstLineChars="200"/>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行政执法人员未履行法定职责或者违法行使职权的，</w:t>
            </w:r>
            <w:r>
              <w:rPr>
                <w:rFonts w:ascii="仿宋" w:hAnsi="仿宋" w:eastAsia="仿宋"/>
                <w:color w:val="000000"/>
                <w:szCs w:val="21"/>
              </w:rPr>
              <w:t>视情节轻重给予批评教育、离岗培训、调离执法岗位、取消行政执法资格等处理或者依法给予处分；构成犯罪的，依法追究刑事责任</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vMerge w:val="continue"/>
            <w:vAlign w:val="center"/>
          </w:tcPr>
          <w:p>
            <w:pPr>
              <w:spacing w:line="280" w:lineRule="exact"/>
            </w:pPr>
          </w:p>
        </w:tc>
        <w:tc>
          <w:tcPr>
            <w:tcW w:w="1147" w:type="dxa"/>
            <w:vMerge w:val="continue"/>
            <w:vAlign w:val="center"/>
          </w:tcPr>
          <w:p>
            <w:pPr>
              <w:spacing w:line="280" w:lineRule="exact"/>
            </w:pPr>
          </w:p>
        </w:tc>
        <w:tc>
          <w:tcPr>
            <w:tcW w:w="2106" w:type="dxa"/>
            <w:vMerge w:val="continue"/>
            <w:vAlign w:val="center"/>
          </w:tcPr>
          <w:p>
            <w:pPr>
              <w:spacing w:line="280" w:lineRule="exact"/>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2.审查责任（审查岗）：</w:t>
            </w:r>
            <w:r>
              <w:rPr>
                <w:rFonts w:hint="eastAsia" w:ascii="仿宋" w:hAnsi="仿宋" w:eastAsia="仿宋"/>
                <w:color w:val="000000"/>
                <w:szCs w:val="21"/>
                <w:lang w:eastAsia="zh-CN"/>
              </w:rPr>
              <w:t>行政审批科</w:t>
            </w:r>
            <w:r>
              <w:rPr>
                <w:rFonts w:hint="eastAsia" w:ascii="仿宋" w:hAnsi="仿宋" w:eastAsia="仿宋"/>
                <w:color w:val="000000"/>
                <w:szCs w:val="21"/>
              </w:rPr>
              <w:t>进行材料审查；涉及他人重大利益的，告知申请人和利害关系人陈述申辩权；依法应当听证或行政机关认为需要听证的，告知申请人、利害关系人听证权。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15</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3.决定责任（决定岗)：</w:t>
            </w:r>
            <w:r>
              <w:rPr>
                <w:rFonts w:hint="eastAsia" w:ascii="仿宋" w:hAnsi="仿宋" w:eastAsia="仿宋"/>
                <w:color w:val="000000"/>
                <w:szCs w:val="21"/>
                <w:lang w:eastAsia="zh-CN"/>
              </w:rPr>
              <w:t>行政审批科</w:t>
            </w:r>
            <w:r>
              <w:rPr>
                <w:rFonts w:hint="eastAsia" w:ascii="仿宋" w:hAnsi="仿宋" w:eastAsia="仿宋"/>
                <w:color w:val="000000"/>
                <w:szCs w:val="21"/>
              </w:rPr>
              <w:t>审批后作出</w:t>
            </w:r>
            <w:r>
              <w:rPr>
                <w:rFonts w:hint="eastAsia" w:ascii="仿宋" w:hAnsi="仿宋" w:eastAsia="仿宋"/>
                <w:color w:val="000000"/>
                <w:szCs w:val="21"/>
                <w:lang w:eastAsia="zh-CN"/>
              </w:rPr>
              <w:t>初审</w:t>
            </w:r>
            <w:r>
              <w:rPr>
                <w:rFonts w:hint="eastAsia" w:ascii="仿宋" w:hAnsi="仿宋" w:eastAsia="仿宋"/>
                <w:color w:val="000000"/>
                <w:szCs w:val="21"/>
              </w:rPr>
              <w:t>决定；对于不予行政许可的，书面告知申请人，并说明理由。</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5</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4.送达责任(送达岗）：将行政许可</w:t>
            </w:r>
            <w:r>
              <w:rPr>
                <w:rFonts w:hint="eastAsia" w:ascii="仿宋" w:hAnsi="仿宋" w:eastAsia="仿宋"/>
                <w:color w:val="000000"/>
                <w:szCs w:val="21"/>
                <w:lang w:eastAsia="zh-CN"/>
              </w:rPr>
              <w:t>初审</w:t>
            </w:r>
            <w:r>
              <w:rPr>
                <w:rFonts w:hint="eastAsia" w:ascii="仿宋" w:hAnsi="仿宋" w:eastAsia="仿宋"/>
                <w:color w:val="000000"/>
                <w:szCs w:val="21"/>
              </w:rPr>
              <w:t>决定</w:t>
            </w:r>
            <w:r>
              <w:rPr>
                <w:rFonts w:hint="eastAsia" w:ascii="仿宋" w:hAnsi="仿宋" w:eastAsia="仿宋"/>
                <w:color w:val="000000"/>
                <w:szCs w:val="21"/>
                <w:lang w:eastAsia="zh-CN"/>
              </w:rPr>
              <w:t>转送省商务厅</w:t>
            </w:r>
            <w:r>
              <w:rPr>
                <w:rFonts w:hint="eastAsia" w:ascii="仿宋" w:hAnsi="仿宋" w:eastAsia="仿宋"/>
                <w:color w:val="000000"/>
                <w:szCs w:val="21"/>
              </w:rPr>
              <w:t>。</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10</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5.事后监管责任（事后监管岗）：加强对准予从事行政许可事项活动情况监督检查。</w:t>
            </w:r>
          </w:p>
        </w:tc>
        <w:tc>
          <w:tcPr>
            <w:tcW w:w="1150" w:type="dxa"/>
            <w:vAlign w:val="center"/>
          </w:tcPr>
          <w:p>
            <w:pPr>
              <w:spacing w:line="280" w:lineRule="exact"/>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6.法律、法规、规章规定的其他应履行的责任事项。</w:t>
            </w:r>
          </w:p>
        </w:tc>
        <w:tc>
          <w:tcPr>
            <w:tcW w:w="1150" w:type="dxa"/>
            <w:vAlign w:val="center"/>
          </w:tcPr>
          <w:p>
            <w:pPr>
              <w:spacing w:line="280" w:lineRule="exact"/>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行</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政</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许</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可</w:t>
            </w:r>
          </w:p>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类</w:t>
            </w:r>
          </w:p>
        </w:tc>
        <w:tc>
          <w:tcPr>
            <w:tcW w:w="1147" w:type="dxa"/>
            <w:vMerge w:val="restart"/>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"http://ly.hnzwfw.gov.cn/art/2019/10/21/art_320_56959375.html" \o "从事拍卖业务许可初审" \t "http://ly.hnzwfw.gov.cn/hnzw/bmft/index/_blank" </w:instrText>
            </w:r>
            <w:r>
              <w:rPr>
                <w:rFonts w:hint="eastAsia" w:ascii="仿宋" w:hAnsi="仿宋" w:eastAsia="仿宋"/>
                <w:color w:val="000000"/>
                <w:szCs w:val="21"/>
              </w:rPr>
              <w:fldChar w:fldCharType="separate"/>
            </w:r>
            <w:r>
              <w:rPr>
                <w:rFonts w:hint="eastAsia" w:ascii="仿宋" w:hAnsi="仿宋" w:eastAsia="仿宋"/>
                <w:color w:val="000000"/>
                <w:szCs w:val="21"/>
              </w:rPr>
              <w:t>从事拍卖业务许可初审</w:t>
            </w:r>
            <w:r>
              <w:rPr>
                <w:rFonts w:hint="eastAsia" w:ascii="仿宋" w:hAnsi="仿宋" w:eastAsia="仿宋"/>
                <w:color w:val="000000"/>
                <w:szCs w:val="21"/>
              </w:rPr>
              <w:fldChar w:fldCharType="end"/>
            </w:r>
          </w:p>
        </w:tc>
        <w:tc>
          <w:tcPr>
            <w:tcW w:w="2106" w:type="dxa"/>
            <w:vMerge w:val="restart"/>
            <w:vAlign w:val="center"/>
          </w:tcPr>
          <w:p>
            <w:pPr>
              <w:spacing w:line="280" w:lineRule="exact"/>
              <w:jc w:val="left"/>
              <w:rPr>
                <w:rFonts w:hint="eastAsia" w:ascii="仿宋" w:hAnsi="仿宋" w:eastAsia="仿宋"/>
                <w:color w:val="000000"/>
                <w:szCs w:val="21"/>
              </w:rPr>
            </w:pPr>
            <w:r>
              <w:rPr>
                <w:rFonts w:hint="eastAsia" w:ascii="仿宋" w:hAnsi="仿宋" w:eastAsia="仿宋"/>
                <w:color w:val="000000"/>
                <w:szCs w:val="21"/>
              </w:rPr>
              <w:t>1.《中华人民共和国拍卖法》第</w:t>
            </w:r>
            <w:r>
              <w:rPr>
                <w:rFonts w:hint="eastAsia" w:ascii="仿宋" w:hAnsi="仿宋" w:eastAsia="仿宋"/>
                <w:color w:val="000000"/>
                <w:szCs w:val="21"/>
                <w:lang w:eastAsia="zh-CN"/>
              </w:rPr>
              <w:t>十一</w:t>
            </w:r>
            <w:r>
              <w:rPr>
                <w:rFonts w:hint="eastAsia" w:ascii="仿宋" w:hAnsi="仿宋" w:eastAsia="仿宋"/>
                <w:color w:val="000000"/>
                <w:szCs w:val="21"/>
              </w:rPr>
              <w:t>条：“</w:t>
            </w:r>
            <w:r>
              <w:rPr>
                <w:rFonts w:hint="eastAsia" w:ascii="仿宋" w:hAnsi="仿宋" w:eastAsia="仿宋" w:cs="仿宋_GB2312"/>
                <w:color w:val="000000"/>
                <w:szCs w:val="21"/>
              </w:rPr>
              <w:t>企业取得从事拍卖业务的许可必须经所在地的省、自治区、直辖市人民政府负责管理拍卖业的部门审核批准</w:t>
            </w:r>
            <w:r>
              <w:rPr>
                <w:rFonts w:hint="eastAsia" w:ascii="仿宋" w:hAnsi="仿宋" w:eastAsia="仿宋"/>
                <w:color w:val="000000"/>
                <w:szCs w:val="21"/>
              </w:rPr>
              <w:t>”。</w:t>
            </w:r>
          </w:p>
          <w:p>
            <w:pPr>
              <w:spacing w:line="280" w:lineRule="exact"/>
              <w:jc w:val="left"/>
              <w:rPr>
                <w:rFonts w:hint="eastAsia" w:ascii="仿宋" w:hAnsi="仿宋" w:eastAsia="仿宋"/>
                <w:color w:val="000000"/>
                <w:szCs w:val="21"/>
              </w:rPr>
            </w:pPr>
          </w:p>
          <w:p>
            <w:pPr>
              <w:spacing w:line="280" w:lineRule="exact"/>
              <w:jc w:val="lef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2.《拍卖管理办法》第十三条：“</w:t>
            </w:r>
            <w:r>
              <w:rPr>
                <w:rFonts w:hint="eastAsia" w:ascii="仿宋" w:hAnsi="仿宋" w:eastAsia="仿宋" w:cs="仿宋_GB2312"/>
                <w:color w:val="000000"/>
                <w:szCs w:val="21"/>
              </w:rPr>
              <w:t>企业及分公司申请取得从事拍卖业务的许可，按照下列程序办理：企业及分公司申请取得从事拍卖业务的许可，应当先经企业或分公司所在地市级商务主管部门审查后，报省级商务主管部门核准并颁发拍卖经营批准证书。省级商务主管部门对企业及分公司申请取得从事拍卖业务的许可可以采取听证方式。拍卖经营批准证书由省级商务主管部门统一印制</w:t>
            </w:r>
            <w:r>
              <w:rPr>
                <w:rFonts w:hint="eastAsia" w:ascii="仿宋" w:hAnsi="仿宋" w:eastAsia="仿宋"/>
                <w:color w:val="000000"/>
                <w:szCs w:val="21"/>
              </w:rPr>
              <w:t>”。</w:t>
            </w:r>
          </w:p>
        </w:tc>
        <w:tc>
          <w:tcPr>
            <w:tcW w:w="5916" w:type="dxa"/>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1.受理责任（受理岗）：</w:t>
            </w:r>
            <w:r>
              <w:rPr>
                <w:rFonts w:hint="eastAsia" w:ascii="仿宋" w:hAnsi="仿宋" w:eastAsia="仿宋"/>
                <w:color w:val="000000"/>
                <w:szCs w:val="21"/>
                <w:lang w:eastAsia="zh-CN"/>
              </w:rPr>
              <w:t>前台</w:t>
            </w:r>
            <w:r>
              <w:rPr>
                <w:rFonts w:hint="eastAsia" w:ascii="仿宋" w:hAnsi="仿宋" w:eastAsia="仿宋"/>
                <w:color w:val="000000"/>
                <w:szCs w:val="21"/>
              </w:rPr>
              <w:t>接收行政许可申请材料；经</w:t>
            </w:r>
            <w:r>
              <w:rPr>
                <w:rFonts w:hint="eastAsia" w:ascii="仿宋" w:hAnsi="仿宋" w:eastAsia="仿宋"/>
                <w:color w:val="000000"/>
                <w:szCs w:val="21"/>
                <w:lang w:eastAsia="zh-CN"/>
              </w:rPr>
              <w:t>行政审批科</w:t>
            </w:r>
            <w:r>
              <w:rPr>
                <w:rFonts w:hint="eastAsia" w:ascii="仿宋" w:hAnsi="仿宋" w:eastAsia="仿宋"/>
                <w:color w:val="000000"/>
                <w:szCs w:val="21"/>
              </w:rPr>
              <w:t>审</w:t>
            </w:r>
            <w:r>
              <w:rPr>
                <w:rFonts w:hint="eastAsia" w:ascii="仿宋" w:hAnsi="仿宋" w:eastAsia="仿宋"/>
                <w:color w:val="000000"/>
                <w:szCs w:val="21"/>
                <w:lang w:eastAsia="zh-CN"/>
              </w:rPr>
              <w:t>核</w:t>
            </w:r>
            <w:r>
              <w:rPr>
                <w:rFonts w:hint="eastAsia" w:ascii="仿宋" w:hAnsi="仿宋" w:eastAsia="仿宋"/>
                <w:color w:val="000000"/>
                <w:szCs w:val="21"/>
              </w:rPr>
              <w:t>，依法受理或不予受理；不予受理的依法告知理由；申请材料不齐全的，一次性告知需补正的材料。</w:t>
            </w:r>
          </w:p>
        </w:tc>
        <w:tc>
          <w:tcPr>
            <w:tcW w:w="1150"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val="en-US" w:eastAsia="zh-CN"/>
              </w:rPr>
              <w:t>2</w:t>
            </w:r>
            <w:r>
              <w:rPr>
                <w:rFonts w:hint="eastAsia" w:ascii="仿宋" w:hAnsi="仿宋" w:eastAsia="仿宋"/>
                <w:color w:val="000000"/>
                <w:szCs w:val="21"/>
              </w:rPr>
              <w:t>日</w:t>
            </w:r>
          </w:p>
        </w:tc>
        <w:tc>
          <w:tcPr>
            <w:tcW w:w="1134" w:type="dxa"/>
            <w:vMerge w:val="restart"/>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否</w:t>
            </w:r>
          </w:p>
        </w:tc>
        <w:tc>
          <w:tcPr>
            <w:tcW w:w="2723" w:type="dxa"/>
            <w:vMerge w:val="restart"/>
            <w:vAlign w:val="top"/>
          </w:tcPr>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行政机关未履行法定职责或者违法行使职权的，</w:t>
            </w:r>
            <w:r>
              <w:rPr>
                <w:rFonts w:ascii="仿宋" w:hAnsi="仿宋" w:eastAsia="仿宋"/>
                <w:color w:val="000000"/>
                <w:szCs w:val="21"/>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rPr>
              <w:t xml:space="preserve">。     </w:t>
            </w:r>
          </w:p>
          <w:p>
            <w:pPr>
              <w:spacing w:line="280" w:lineRule="exact"/>
              <w:ind w:firstLine="420" w:firstLineChars="200"/>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行政执法人员未履行法定职责或者违法行使职权的，</w:t>
            </w:r>
            <w:r>
              <w:rPr>
                <w:rFonts w:ascii="仿宋" w:hAnsi="仿宋" w:eastAsia="仿宋"/>
                <w:color w:val="000000"/>
                <w:szCs w:val="21"/>
              </w:rPr>
              <w:t>视情节轻重给予批评教育、离岗培训、调离执法岗位、取消行政执法资格等处理或者依法给予处分；构成犯罪的，依法追究刑事责任</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pPr>
          </w:p>
        </w:tc>
        <w:tc>
          <w:tcPr>
            <w:tcW w:w="1147" w:type="dxa"/>
            <w:vMerge w:val="continue"/>
            <w:vAlign w:val="center"/>
          </w:tcPr>
          <w:p>
            <w:pPr>
              <w:spacing w:line="280" w:lineRule="exact"/>
            </w:pPr>
          </w:p>
        </w:tc>
        <w:tc>
          <w:tcPr>
            <w:tcW w:w="2106" w:type="dxa"/>
            <w:vMerge w:val="continue"/>
            <w:vAlign w:val="center"/>
          </w:tcPr>
          <w:p>
            <w:pPr>
              <w:spacing w:line="280" w:lineRule="exact"/>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2.审查责任（审查岗）：</w:t>
            </w:r>
            <w:r>
              <w:rPr>
                <w:rFonts w:hint="eastAsia" w:ascii="仿宋" w:hAnsi="仿宋" w:eastAsia="仿宋"/>
                <w:color w:val="000000"/>
                <w:szCs w:val="21"/>
                <w:lang w:eastAsia="zh-CN"/>
              </w:rPr>
              <w:t>行政审批科</w:t>
            </w:r>
            <w:r>
              <w:rPr>
                <w:rFonts w:hint="eastAsia" w:ascii="仿宋" w:hAnsi="仿宋" w:eastAsia="仿宋"/>
                <w:color w:val="000000"/>
                <w:szCs w:val="21"/>
              </w:rPr>
              <w:t>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3.决定责任（决定岗)：</w:t>
            </w:r>
            <w:r>
              <w:rPr>
                <w:rFonts w:hint="eastAsia" w:ascii="仿宋" w:hAnsi="仿宋" w:eastAsia="仿宋"/>
                <w:color w:val="000000"/>
                <w:szCs w:val="21"/>
                <w:lang w:eastAsia="zh-CN"/>
              </w:rPr>
              <w:t>分管领导</w:t>
            </w:r>
            <w:r>
              <w:rPr>
                <w:rFonts w:hint="eastAsia" w:ascii="仿宋" w:hAnsi="仿宋" w:eastAsia="仿宋"/>
                <w:color w:val="000000"/>
                <w:szCs w:val="21"/>
              </w:rPr>
              <w:t>审批后作出</w:t>
            </w:r>
            <w:r>
              <w:rPr>
                <w:rFonts w:hint="eastAsia" w:ascii="仿宋" w:hAnsi="仿宋" w:eastAsia="仿宋"/>
                <w:color w:val="000000"/>
                <w:szCs w:val="21"/>
                <w:lang w:eastAsia="zh-CN"/>
              </w:rPr>
              <w:t>初审</w:t>
            </w:r>
            <w:r>
              <w:rPr>
                <w:rFonts w:hint="eastAsia" w:ascii="仿宋" w:hAnsi="仿宋" w:eastAsia="仿宋"/>
                <w:color w:val="000000"/>
                <w:szCs w:val="21"/>
              </w:rPr>
              <w:t>决定；对于不予行政许可的，书面告知申请人，并说明理由。</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4.送达责任(送达岗）：将行政许可</w:t>
            </w:r>
            <w:r>
              <w:rPr>
                <w:rFonts w:hint="eastAsia" w:ascii="仿宋" w:hAnsi="仿宋" w:eastAsia="仿宋"/>
                <w:color w:val="000000"/>
                <w:szCs w:val="21"/>
                <w:lang w:eastAsia="zh-CN"/>
              </w:rPr>
              <w:t>初审</w:t>
            </w:r>
            <w:r>
              <w:rPr>
                <w:rFonts w:hint="eastAsia" w:ascii="仿宋" w:hAnsi="仿宋" w:eastAsia="仿宋"/>
                <w:color w:val="000000"/>
                <w:szCs w:val="21"/>
              </w:rPr>
              <w:t>决定</w:t>
            </w:r>
            <w:r>
              <w:rPr>
                <w:rFonts w:hint="eastAsia" w:ascii="仿宋" w:hAnsi="仿宋" w:eastAsia="仿宋"/>
                <w:color w:val="000000"/>
                <w:szCs w:val="21"/>
                <w:lang w:eastAsia="zh-CN"/>
              </w:rPr>
              <w:t>转送省商务厅</w:t>
            </w:r>
            <w:r>
              <w:rPr>
                <w:rFonts w:hint="eastAsia" w:ascii="仿宋" w:hAnsi="仿宋" w:eastAsia="仿宋"/>
                <w:color w:val="000000"/>
                <w:szCs w:val="21"/>
              </w:rPr>
              <w:t>。</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5.事后监管责任（事后监管岗）：加强对准予从事行政许可事项活动情况监督检查。</w:t>
            </w:r>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6.法律、法规、规章规定的其他应履行的责任事项。</w:t>
            </w:r>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8" w:type="dxa"/>
            <w:vMerge w:val="restart"/>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行</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政</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许</w:t>
            </w:r>
          </w:p>
          <w:p>
            <w:pPr>
              <w:spacing w:line="280" w:lineRule="exact"/>
              <w:jc w:val="center"/>
              <w:rPr>
                <w:rFonts w:hint="eastAsia" w:ascii="仿宋" w:hAnsi="仿宋" w:eastAsia="仿宋"/>
                <w:color w:val="000000"/>
                <w:szCs w:val="21"/>
              </w:rPr>
            </w:pPr>
            <w:r>
              <w:rPr>
                <w:rFonts w:hint="eastAsia" w:ascii="仿宋" w:hAnsi="仿宋" w:eastAsia="仿宋"/>
                <w:color w:val="000000"/>
                <w:szCs w:val="21"/>
              </w:rPr>
              <w:t>可</w:t>
            </w:r>
          </w:p>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类</w:t>
            </w:r>
          </w:p>
        </w:tc>
        <w:tc>
          <w:tcPr>
            <w:tcW w:w="1147" w:type="dxa"/>
            <w:vMerge w:val="restart"/>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"http://ly.hnzwfw.gov.cn/art/2019/10/28/art_320_57028943.html" \o "拍卖企业分公司从事拍卖业务许可初审" \t "http://ly.hnzwfw.gov.cn/hnzw/bmft/index/_blank" </w:instrText>
            </w:r>
            <w:r>
              <w:rPr>
                <w:rFonts w:hint="eastAsia" w:ascii="仿宋" w:hAnsi="仿宋" w:eastAsia="仿宋"/>
                <w:color w:val="000000"/>
                <w:szCs w:val="21"/>
              </w:rPr>
              <w:fldChar w:fldCharType="separate"/>
            </w:r>
            <w:r>
              <w:rPr>
                <w:rFonts w:hint="eastAsia" w:ascii="仿宋" w:hAnsi="仿宋" w:eastAsia="仿宋"/>
                <w:color w:val="000000"/>
                <w:szCs w:val="21"/>
              </w:rPr>
              <w:t>拍卖企业分公司从事拍卖业务许可初审</w:t>
            </w:r>
            <w:r>
              <w:rPr>
                <w:rFonts w:hint="eastAsia" w:ascii="仿宋" w:hAnsi="仿宋" w:eastAsia="仿宋"/>
                <w:color w:val="000000"/>
                <w:szCs w:val="21"/>
              </w:rPr>
              <w:fldChar w:fldCharType="end"/>
            </w:r>
          </w:p>
        </w:tc>
        <w:tc>
          <w:tcPr>
            <w:tcW w:w="2106" w:type="dxa"/>
            <w:vMerge w:val="restart"/>
            <w:vAlign w:val="center"/>
          </w:tcPr>
          <w:p>
            <w:pPr>
              <w:spacing w:line="280" w:lineRule="exact"/>
              <w:jc w:val="left"/>
              <w:rPr>
                <w:rFonts w:hint="eastAsia" w:ascii="仿宋" w:hAnsi="仿宋" w:eastAsia="仿宋"/>
                <w:color w:val="000000"/>
                <w:szCs w:val="21"/>
              </w:rPr>
            </w:pPr>
            <w:r>
              <w:rPr>
                <w:rFonts w:hint="eastAsia" w:ascii="仿宋" w:hAnsi="仿宋" w:eastAsia="仿宋"/>
                <w:color w:val="000000"/>
                <w:szCs w:val="21"/>
              </w:rPr>
              <w:t>1.《中华人民共和国拍卖法》第</w:t>
            </w:r>
            <w:r>
              <w:rPr>
                <w:rFonts w:hint="eastAsia" w:ascii="仿宋" w:hAnsi="仿宋" w:eastAsia="仿宋"/>
                <w:color w:val="000000"/>
                <w:szCs w:val="21"/>
                <w:lang w:eastAsia="zh-CN"/>
              </w:rPr>
              <w:t>十一</w:t>
            </w:r>
            <w:r>
              <w:rPr>
                <w:rFonts w:hint="eastAsia" w:ascii="仿宋" w:hAnsi="仿宋" w:eastAsia="仿宋"/>
                <w:color w:val="000000"/>
                <w:szCs w:val="21"/>
              </w:rPr>
              <w:t>条：“</w:t>
            </w:r>
            <w:r>
              <w:rPr>
                <w:rFonts w:hint="eastAsia" w:ascii="仿宋" w:hAnsi="仿宋" w:eastAsia="仿宋" w:cs="仿宋_GB2312"/>
                <w:color w:val="000000"/>
                <w:szCs w:val="21"/>
              </w:rPr>
              <w:t>企业取得从事拍卖业务的许可必须经所在地的省、自治区、直辖市人民政府负责管理拍卖业的部门审核批准</w:t>
            </w:r>
            <w:r>
              <w:rPr>
                <w:rFonts w:hint="eastAsia" w:ascii="仿宋" w:hAnsi="仿宋" w:eastAsia="仿宋"/>
                <w:color w:val="000000"/>
                <w:szCs w:val="21"/>
              </w:rPr>
              <w:t>”。</w:t>
            </w:r>
          </w:p>
          <w:p>
            <w:pPr>
              <w:spacing w:line="280" w:lineRule="exact"/>
              <w:jc w:val="left"/>
              <w:rPr>
                <w:rFonts w:hint="eastAsia" w:ascii="仿宋" w:hAnsi="仿宋" w:eastAsia="仿宋"/>
                <w:color w:val="000000"/>
                <w:szCs w:val="21"/>
              </w:rPr>
            </w:pPr>
          </w:p>
          <w:p>
            <w:pPr>
              <w:spacing w:line="280" w:lineRule="exact"/>
              <w:jc w:val="lef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2.《拍卖管理办法》第十三条：“</w:t>
            </w:r>
            <w:r>
              <w:rPr>
                <w:rFonts w:hint="eastAsia" w:ascii="仿宋" w:hAnsi="仿宋" w:eastAsia="仿宋" w:cs="仿宋_GB2312"/>
                <w:color w:val="000000"/>
                <w:szCs w:val="21"/>
              </w:rPr>
              <w:t>企业及分公司申请取得从事拍卖业务的许可，按照下列程序办理：企业及分公司申请取得从事拍卖业务的许可，应当先经企业或分公司所在地市级商务主管部门审查后，报省级商务主管部门核准并颁发拍卖经营批准证书。省级商务主管部门对企业及分公司申请取得从事拍卖业务的许可可以采取听证方式。拍卖经营批准证书由省级商务主管部门统一印制</w:t>
            </w:r>
            <w:r>
              <w:rPr>
                <w:rFonts w:hint="eastAsia" w:ascii="仿宋" w:hAnsi="仿宋" w:eastAsia="仿宋"/>
                <w:color w:val="000000"/>
                <w:szCs w:val="21"/>
              </w:rPr>
              <w:t>”。</w:t>
            </w:r>
          </w:p>
        </w:tc>
        <w:tc>
          <w:tcPr>
            <w:tcW w:w="5916" w:type="dxa"/>
            <w:vAlign w:val="center"/>
          </w:tcPr>
          <w:p>
            <w:pPr>
              <w:spacing w:line="280" w:lineRule="exact"/>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1.受理责任（受理岗）：</w:t>
            </w:r>
            <w:r>
              <w:rPr>
                <w:rFonts w:hint="eastAsia" w:ascii="仿宋" w:hAnsi="仿宋" w:eastAsia="仿宋"/>
                <w:color w:val="000000"/>
                <w:szCs w:val="21"/>
                <w:lang w:eastAsia="zh-CN"/>
              </w:rPr>
              <w:t>前台</w:t>
            </w:r>
            <w:r>
              <w:rPr>
                <w:rFonts w:hint="eastAsia" w:ascii="仿宋" w:hAnsi="仿宋" w:eastAsia="仿宋"/>
                <w:color w:val="000000"/>
                <w:szCs w:val="21"/>
              </w:rPr>
              <w:t>接收行政许可申请材料；经</w:t>
            </w:r>
            <w:r>
              <w:rPr>
                <w:rFonts w:hint="eastAsia" w:ascii="仿宋" w:hAnsi="仿宋" w:eastAsia="仿宋"/>
                <w:color w:val="000000"/>
                <w:szCs w:val="21"/>
                <w:lang w:eastAsia="zh-CN"/>
              </w:rPr>
              <w:t>行政审批科</w:t>
            </w:r>
            <w:r>
              <w:rPr>
                <w:rFonts w:hint="eastAsia" w:ascii="仿宋" w:hAnsi="仿宋" w:eastAsia="仿宋"/>
                <w:color w:val="000000"/>
                <w:szCs w:val="21"/>
              </w:rPr>
              <w:t>审</w:t>
            </w:r>
            <w:r>
              <w:rPr>
                <w:rFonts w:hint="eastAsia" w:ascii="仿宋" w:hAnsi="仿宋" w:eastAsia="仿宋"/>
                <w:color w:val="000000"/>
                <w:szCs w:val="21"/>
                <w:lang w:eastAsia="zh-CN"/>
              </w:rPr>
              <w:t>核</w:t>
            </w:r>
            <w:r>
              <w:rPr>
                <w:rFonts w:hint="eastAsia" w:ascii="仿宋" w:hAnsi="仿宋" w:eastAsia="仿宋"/>
                <w:color w:val="000000"/>
                <w:szCs w:val="21"/>
              </w:rPr>
              <w:t>，依法受理或不予受理；不予受理的依法告知理由；申请材料不齐全的，一次性告知需补正的材料。</w:t>
            </w:r>
          </w:p>
        </w:tc>
        <w:tc>
          <w:tcPr>
            <w:tcW w:w="1150" w:type="dxa"/>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lang w:val="en-US" w:eastAsia="zh-CN"/>
              </w:rPr>
              <w:t>2</w:t>
            </w:r>
            <w:r>
              <w:rPr>
                <w:rFonts w:hint="eastAsia" w:ascii="仿宋" w:hAnsi="仿宋" w:eastAsia="仿宋"/>
                <w:color w:val="000000"/>
                <w:szCs w:val="21"/>
              </w:rPr>
              <w:t>日</w:t>
            </w:r>
          </w:p>
        </w:tc>
        <w:tc>
          <w:tcPr>
            <w:tcW w:w="1134" w:type="dxa"/>
            <w:vMerge w:val="restart"/>
            <w:vAlign w:val="center"/>
          </w:tcPr>
          <w:p>
            <w:pPr>
              <w:spacing w:line="280" w:lineRule="exact"/>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否</w:t>
            </w:r>
          </w:p>
        </w:tc>
        <w:tc>
          <w:tcPr>
            <w:tcW w:w="2723" w:type="dxa"/>
            <w:vMerge w:val="restart"/>
            <w:vAlign w:val="top"/>
          </w:tcPr>
          <w:p>
            <w:pPr>
              <w:spacing w:line="280" w:lineRule="exact"/>
              <w:ind w:firstLine="420" w:firstLineChars="200"/>
              <w:rPr>
                <w:rFonts w:hint="eastAsia" w:ascii="仿宋" w:hAnsi="仿宋" w:eastAsia="仿宋"/>
                <w:color w:val="000000"/>
                <w:szCs w:val="21"/>
              </w:rPr>
            </w:pPr>
            <w:r>
              <w:rPr>
                <w:rFonts w:hint="eastAsia" w:ascii="仿宋" w:hAnsi="仿宋" w:eastAsia="仿宋"/>
                <w:color w:val="000000"/>
                <w:szCs w:val="21"/>
              </w:rPr>
              <w:t>行政机关未履行法定职责或者违法行使职权的，</w:t>
            </w:r>
            <w:r>
              <w:rPr>
                <w:rFonts w:ascii="仿宋" w:hAnsi="仿宋" w:eastAsia="仿宋"/>
                <w:color w:val="000000"/>
                <w:szCs w:val="21"/>
              </w:rPr>
              <w:t>责令限期改正；逾期不改正的，给予通报批评、取消评比先进资格等处理；情节严重的，对直接负责的主管人员和其他直接责任人员依法给予处分；构成犯罪的，依法追究刑事责任</w:t>
            </w:r>
            <w:r>
              <w:rPr>
                <w:rFonts w:hint="eastAsia" w:ascii="仿宋" w:hAnsi="仿宋" w:eastAsia="仿宋"/>
                <w:color w:val="000000"/>
                <w:szCs w:val="21"/>
              </w:rPr>
              <w:t xml:space="preserve">。     </w:t>
            </w:r>
          </w:p>
          <w:p>
            <w:pPr>
              <w:spacing w:line="280" w:lineRule="exact"/>
              <w:ind w:firstLine="420" w:firstLineChars="200"/>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行政执法人员未履行法定职责或者违法行使职权的，</w:t>
            </w:r>
            <w:r>
              <w:rPr>
                <w:rFonts w:ascii="仿宋" w:hAnsi="仿宋" w:eastAsia="仿宋"/>
                <w:color w:val="000000"/>
                <w:szCs w:val="21"/>
              </w:rPr>
              <w:t>视情节轻重给予批评教育、离岗培训、调离执法岗位、取消行政执法资格等处理或者依法给予处分；构成犯罪的，依法追究刑事责任</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8" w:type="dxa"/>
            <w:vMerge w:val="continue"/>
            <w:vAlign w:val="center"/>
          </w:tcPr>
          <w:p>
            <w:pPr>
              <w:spacing w:line="280" w:lineRule="exact"/>
            </w:pPr>
          </w:p>
        </w:tc>
        <w:tc>
          <w:tcPr>
            <w:tcW w:w="1147" w:type="dxa"/>
            <w:vMerge w:val="continue"/>
            <w:vAlign w:val="center"/>
          </w:tcPr>
          <w:p>
            <w:pPr>
              <w:spacing w:line="280" w:lineRule="exact"/>
            </w:pPr>
          </w:p>
        </w:tc>
        <w:tc>
          <w:tcPr>
            <w:tcW w:w="2106" w:type="dxa"/>
            <w:vMerge w:val="continue"/>
            <w:vAlign w:val="center"/>
          </w:tcPr>
          <w:p>
            <w:pPr>
              <w:spacing w:line="280" w:lineRule="exact"/>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2.审查责任（审查岗）：</w:t>
            </w:r>
            <w:r>
              <w:rPr>
                <w:rFonts w:hint="eastAsia" w:ascii="仿宋" w:hAnsi="仿宋" w:eastAsia="仿宋"/>
                <w:color w:val="000000"/>
                <w:szCs w:val="21"/>
                <w:lang w:eastAsia="zh-CN"/>
              </w:rPr>
              <w:t>行政审批科</w:t>
            </w:r>
            <w:r>
              <w:rPr>
                <w:rFonts w:hint="eastAsia" w:ascii="仿宋" w:hAnsi="仿宋" w:eastAsia="仿宋"/>
                <w:color w:val="000000"/>
                <w:szCs w:val="21"/>
              </w:rPr>
              <w:t>进行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3.决定责任（决定岗)：</w:t>
            </w:r>
            <w:r>
              <w:rPr>
                <w:rFonts w:hint="eastAsia" w:ascii="仿宋" w:hAnsi="仿宋" w:eastAsia="仿宋"/>
                <w:color w:val="000000"/>
                <w:szCs w:val="21"/>
                <w:lang w:eastAsia="zh-CN"/>
              </w:rPr>
              <w:t>分管领导</w:t>
            </w:r>
            <w:r>
              <w:rPr>
                <w:rFonts w:hint="eastAsia" w:ascii="仿宋" w:hAnsi="仿宋" w:eastAsia="仿宋"/>
                <w:color w:val="000000"/>
                <w:szCs w:val="21"/>
              </w:rPr>
              <w:t>审批后作出</w:t>
            </w:r>
            <w:r>
              <w:rPr>
                <w:rFonts w:hint="eastAsia" w:ascii="仿宋" w:hAnsi="仿宋" w:eastAsia="仿宋"/>
                <w:color w:val="000000"/>
                <w:szCs w:val="21"/>
                <w:lang w:eastAsia="zh-CN"/>
              </w:rPr>
              <w:t>初审</w:t>
            </w:r>
            <w:r>
              <w:rPr>
                <w:rFonts w:hint="eastAsia" w:ascii="仿宋" w:hAnsi="仿宋" w:eastAsia="仿宋"/>
                <w:color w:val="000000"/>
                <w:szCs w:val="21"/>
              </w:rPr>
              <w:t>决定；对于不予行政许可的，书面告知申请人，并说明理由。</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3</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4.送达责任(送达岗）：将行政许可</w:t>
            </w:r>
            <w:r>
              <w:rPr>
                <w:rFonts w:hint="eastAsia" w:ascii="仿宋" w:hAnsi="仿宋" w:eastAsia="仿宋"/>
                <w:color w:val="000000"/>
                <w:szCs w:val="21"/>
                <w:lang w:eastAsia="zh-CN"/>
              </w:rPr>
              <w:t>初审</w:t>
            </w:r>
            <w:r>
              <w:rPr>
                <w:rFonts w:hint="eastAsia" w:ascii="仿宋" w:hAnsi="仿宋" w:eastAsia="仿宋"/>
                <w:color w:val="000000"/>
                <w:szCs w:val="21"/>
              </w:rPr>
              <w:t>决定</w:t>
            </w:r>
            <w:r>
              <w:rPr>
                <w:rFonts w:hint="eastAsia" w:ascii="仿宋" w:hAnsi="仿宋" w:eastAsia="仿宋"/>
                <w:color w:val="000000"/>
                <w:szCs w:val="21"/>
                <w:lang w:eastAsia="zh-CN"/>
              </w:rPr>
              <w:t>转送省商务厅</w:t>
            </w:r>
            <w:r>
              <w:rPr>
                <w:rFonts w:hint="eastAsia" w:ascii="仿宋" w:hAnsi="仿宋" w:eastAsia="仿宋"/>
                <w:color w:val="000000"/>
                <w:szCs w:val="21"/>
              </w:rPr>
              <w:t>。</w:t>
            </w:r>
          </w:p>
        </w:tc>
        <w:tc>
          <w:tcPr>
            <w:tcW w:w="1150" w:type="dxa"/>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rPr>
              <w:t>日</w:t>
            </w: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5.事后监管责任（事后监管岗）：加强对准予从事行政许可事项活动情况监督检查。</w:t>
            </w:r>
            <w:bookmarkStart w:id="0" w:name="_GoBack"/>
            <w:bookmarkEnd w:id="0"/>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8" w:type="dxa"/>
            <w:vMerge w:val="continue"/>
            <w:vAlign w:val="center"/>
          </w:tcPr>
          <w:p>
            <w:pPr>
              <w:spacing w:line="280" w:lineRule="exact"/>
              <w:rPr>
                <w:rFonts w:hint="eastAsia" w:ascii="仿宋" w:hAnsi="仿宋" w:eastAsia="仿宋"/>
                <w:color w:val="000000"/>
                <w:szCs w:val="21"/>
              </w:rPr>
            </w:pPr>
          </w:p>
        </w:tc>
        <w:tc>
          <w:tcPr>
            <w:tcW w:w="1147" w:type="dxa"/>
            <w:vMerge w:val="continue"/>
            <w:vAlign w:val="center"/>
          </w:tcPr>
          <w:p>
            <w:pPr>
              <w:spacing w:line="280" w:lineRule="exact"/>
              <w:rPr>
                <w:rFonts w:hint="eastAsia" w:ascii="仿宋" w:hAnsi="仿宋" w:eastAsia="仿宋"/>
                <w:color w:val="000000"/>
                <w:szCs w:val="21"/>
              </w:rPr>
            </w:pPr>
          </w:p>
        </w:tc>
        <w:tc>
          <w:tcPr>
            <w:tcW w:w="2106" w:type="dxa"/>
            <w:vMerge w:val="continue"/>
            <w:vAlign w:val="center"/>
          </w:tcPr>
          <w:p>
            <w:pPr>
              <w:spacing w:line="280" w:lineRule="exact"/>
              <w:rPr>
                <w:rFonts w:hint="eastAsia" w:ascii="仿宋" w:hAnsi="仿宋" w:eastAsia="仿宋"/>
                <w:color w:val="000000"/>
                <w:szCs w:val="21"/>
              </w:rPr>
            </w:pPr>
          </w:p>
        </w:tc>
        <w:tc>
          <w:tcPr>
            <w:tcW w:w="5916" w:type="dxa"/>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6.法律、法规、规章规定的其他应履行的责任事项。</w:t>
            </w:r>
          </w:p>
        </w:tc>
        <w:tc>
          <w:tcPr>
            <w:tcW w:w="1150" w:type="dxa"/>
            <w:vAlign w:val="center"/>
          </w:tcPr>
          <w:p>
            <w:pPr>
              <w:spacing w:line="280" w:lineRule="exact"/>
              <w:jc w:val="center"/>
              <w:rPr>
                <w:rFonts w:hint="eastAsia" w:ascii="仿宋" w:hAnsi="仿宋" w:eastAsia="仿宋"/>
                <w:color w:val="000000"/>
                <w:szCs w:val="21"/>
              </w:rPr>
            </w:pPr>
          </w:p>
        </w:tc>
        <w:tc>
          <w:tcPr>
            <w:tcW w:w="1134" w:type="dxa"/>
            <w:vMerge w:val="continue"/>
            <w:vAlign w:val="center"/>
          </w:tcPr>
          <w:p>
            <w:pPr>
              <w:spacing w:line="280" w:lineRule="exact"/>
              <w:rPr>
                <w:rFonts w:hint="eastAsia" w:ascii="仿宋" w:hAnsi="仿宋" w:eastAsia="仿宋"/>
                <w:color w:val="000000"/>
                <w:szCs w:val="21"/>
              </w:rPr>
            </w:pPr>
          </w:p>
        </w:tc>
        <w:tc>
          <w:tcPr>
            <w:tcW w:w="2723" w:type="dxa"/>
            <w:vMerge w:val="continue"/>
            <w:vAlign w:val="top"/>
          </w:tcPr>
          <w:p>
            <w:pPr>
              <w:spacing w:line="280" w:lineRule="exac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824" w:type="dxa"/>
            <w:gridSpan w:val="7"/>
            <w:vAlign w:val="center"/>
          </w:tcPr>
          <w:p>
            <w:pPr>
              <w:spacing w:line="280" w:lineRule="exact"/>
              <w:rPr>
                <w:rFonts w:hint="eastAsia" w:ascii="仿宋" w:hAnsi="仿宋" w:eastAsia="仿宋"/>
                <w:color w:val="000000"/>
                <w:szCs w:val="21"/>
              </w:rPr>
            </w:pPr>
            <w:r>
              <w:rPr>
                <w:rFonts w:hint="eastAsia" w:ascii="仿宋" w:hAnsi="仿宋" w:eastAsia="仿宋"/>
                <w:color w:val="000000"/>
                <w:szCs w:val="21"/>
              </w:rPr>
              <w:t>服务机构：</w:t>
            </w:r>
            <w:r>
              <w:rPr>
                <w:rFonts w:hint="eastAsia" w:ascii="仿宋" w:hAnsi="仿宋" w:eastAsia="仿宋"/>
                <w:color w:val="000000"/>
                <w:szCs w:val="21"/>
                <w:lang w:eastAsia="zh-CN"/>
              </w:rPr>
              <w:t>洛阳市商务局</w:t>
            </w:r>
            <w:r>
              <w:rPr>
                <w:rFonts w:hint="eastAsia" w:ascii="仿宋" w:hAnsi="仿宋" w:eastAsia="仿宋"/>
                <w:color w:val="000000"/>
                <w:szCs w:val="21"/>
              </w:rPr>
              <w:t xml:space="preserve">   服务电话：</w:t>
            </w:r>
            <w:r>
              <w:rPr>
                <w:rFonts w:hint="eastAsia" w:ascii="仿宋" w:hAnsi="仿宋" w:eastAsia="仿宋"/>
                <w:color w:val="000000"/>
                <w:szCs w:val="21"/>
                <w:lang w:val="en-US" w:eastAsia="zh-CN"/>
              </w:rPr>
              <w:t>63926606</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eastAsia="zh-CN"/>
              </w:rPr>
              <w:t>洛阳</w:t>
            </w:r>
            <w:r>
              <w:rPr>
                <w:rFonts w:hint="eastAsia" w:ascii="仿宋" w:hAnsi="仿宋" w:eastAsia="仿宋"/>
                <w:color w:val="000000"/>
                <w:szCs w:val="21"/>
              </w:rPr>
              <w:t>市</w:t>
            </w:r>
            <w:r>
              <w:rPr>
                <w:rFonts w:hint="eastAsia" w:ascii="仿宋" w:hAnsi="仿宋" w:eastAsia="仿宋"/>
                <w:color w:val="000000"/>
                <w:szCs w:val="21"/>
                <w:lang w:eastAsia="zh-CN"/>
              </w:rPr>
              <w:t>洛龙</w:t>
            </w:r>
            <w:r>
              <w:rPr>
                <w:rFonts w:hint="eastAsia" w:ascii="仿宋" w:hAnsi="仿宋" w:eastAsia="仿宋"/>
                <w:color w:val="000000"/>
                <w:szCs w:val="21"/>
              </w:rPr>
              <w:t>区</w:t>
            </w:r>
            <w:r>
              <w:rPr>
                <w:rFonts w:hint="eastAsia" w:ascii="仿宋" w:hAnsi="仿宋" w:eastAsia="仿宋"/>
                <w:color w:val="000000"/>
                <w:szCs w:val="21"/>
                <w:lang w:eastAsia="zh-CN"/>
              </w:rPr>
              <w:t>开元大道</w:t>
            </w:r>
            <w:r>
              <w:rPr>
                <w:rFonts w:hint="eastAsia" w:ascii="仿宋" w:hAnsi="仿宋" w:eastAsia="仿宋"/>
                <w:color w:val="000000"/>
                <w:szCs w:val="21"/>
                <w:lang w:val="en-US" w:eastAsia="zh-CN"/>
              </w:rPr>
              <w:t>20</w:t>
            </w:r>
            <w:r>
              <w:rPr>
                <w:rFonts w:hint="eastAsia" w:ascii="仿宋" w:hAnsi="仿宋" w:eastAsia="仿宋"/>
                <w:color w:val="000000"/>
                <w:szCs w:val="21"/>
              </w:rPr>
              <w:t>号</w:t>
            </w:r>
            <w:r>
              <w:rPr>
                <w:rFonts w:hint="eastAsia" w:ascii="仿宋" w:hAnsi="仿宋" w:eastAsia="仿宋"/>
                <w:color w:val="000000"/>
                <w:szCs w:val="21"/>
                <w:lang w:val="en-US" w:eastAsia="zh-CN"/>
              </w:rPr>
              <w:t>6</w:t>
            </w:r>
            <w:r>
              <w:rPr>
                <w:rFonts w:hint="eastAsia" w:ascii="仿宋" w:hAnsi="仿宋" w:eastAsia="仿宋"/>
                <w:color w:val="000000"/>
                <w:szCs w:val="21"/>
              </w:rPr>
              <w:t>楼</w:t>
            </w:r>
            <w:r>
              <w:rPr>
                <w:rFonts w:hint="eastAsia" w:ascii="仿宋" w:hAnsi="仿宋" w:eastAsia="仿宋"/>
                <w:color w:val="000000"/>
                <w:szCs w:val="21"/>
                <w:lang w:val="en-US" w:eastAsia="zh-CN"/>
              </w:rPr>
              <w:t>B06窗口</w:t>
            </w:r>
            <w:r>
              <w:rPr>
                <w:rFonts w:hint="eastAsia" w:ascii="仿宋" w:hAnsi="仿宋" w:eastAsia="仿宋"/>
                <w:color w:val="000000"/>
                <w:szCs w:val="21"/>
              </w:rPr>
              <w:t xml:space="preserve">   投诉机构：</w:t>
            </w:r>
            <w:r>
              <w:rPr>
                <w:rFonts w:hint="eastAsia" w:ascii="仿宋" w:hAnsi="仿宋" w:eastAsia="仿宋"/>
                <w:color w:val="000000"/>
                <w:szCs w:val="21"/>
                <w:lang w:eastAsia="zh-CN"/>
              </w:rPr>
              <w:t>派驻纪检组</w:t>
            </w:r>
            <w:r>
              <w:rPr>
                <w:rFonts w:hint="eastAsia" w:ascii="仿宋" w:hAnsi="仿宋" w:eastAsia="仿宋"/>
                <w:color w:val="000000"/>
                <w:szCs w:val="21"/>
              </w:rPr>
              <w:t xml:space="preserve">    投诉电话：</w:t>
            </w:r>
            <w:r>
              <w:rPr>
                <w:rFonts w:ascii="微软雅黑" w:hAnsi="微软雅黑" w:eastAsia="微软雅黑" w:cs="微软雅黑"/>
                <w:i w:val="0"/>
                <w:caps w:val="0"/>
                <w:color w:val="333333"/>
                <w:spacing w:val="0"/>
                <w:sz w:val="21"/>
                <w:szCs w:val="21"/>
                <w:shd w:val="clear" w:fill="FFFFFF"/>
              </w:rPr>
              <w:t>63937943</w:t>
            </w:r>
            <w:r>
              <w:rPr>
                <w:rFonts w:hint="eastAsia" w:ascii="仿宋" w:hAnsi="仿宋" w:eastAsia="仿宋"/>
                <w:color w:val="000000"/>
                <w:szCs w:val="21"/>
              </w:rPr>
              <w:t xml:space="preserve">          </w:t>
            </w:r>
          </w:p>
        </w:tc>
      </w:tr>
    </w:tbl>
    <w:p>
      <w:pPr>
        <w:spacing w:line="440" w:lineRule="exact"/>
        <w:jc w:val="center"/>
        <w:rPr>
          <w:rFonts w:hint="eastAsia" w:ascii="宋体" w:hAnsi="宋体" w:cs="宋体"/>
          <w:b/>
          <w:bCs/>
          <w:sz w:val="36"/>
          <w:szCs w:val="36"/>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C8EC7"/>
    <w:multiLevelType w:val="singleLevel"/>
    <w:tmpl w:val="BC4C8EC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37E374C"/>
    <w:rsid w:val="145E2085"/>
    <w:rsid w:val="16423F9D"/>
    <w:rsid w:val="1D8B36C0"/>
    <w:rsid w:val="2FCF6FF4"/>
    <w:rsid w:val="4FDA796E"/>
    <w:rsid w:val="54F71EDE"/>
    <w:rsid w:val="6A0D473D"/>
    <w:rsid w:val="6A991F9B"/>
    <w:rsid w:val="6F1B59B8"/>
    <w:rsid w:val="7ED30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Administrator</cp:lastModifiedBy>
  <dcterms:modified xsi:type="dcterms:W3CDTF">2020-07-28T02:25:39Z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