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915" w:firstLineChars="20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  <w:lang w:val="en-US" w:eastAsia="zh-CN"/>
        </w:rPr>
        <w:t>优秀实践案例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spacing w:val="8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72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一、题目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老城区市场监管局在全省首创移动执法智慧监管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二、具体做法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32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2月26日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，老城区市场监管局正式启用智慧监管移动执法终端设备，首期主要在食品药品监管领域进行试点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移动执法设备可现场取证、下达文书、复查整改全实现，还支持“云端”留存。目前，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我局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其下辖的9个市场监管所已经全部配发到位。移动执法设备扫描店内营业执照上的二维码之后，屏幕上即显示出店名、地址、信用代码等相关信息。同时还能对餐饮具消毒、工作人员健康证、食材进货记录等情况，随时拍照录入系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73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在检查中如有未明码标价的情况，通过移动执法设备现场拍照取证后，填写《责令改正通知书》具体信息，由该店负责人电子签名确认后，打印并下达纸质版《责令改正通知书》，要求其及时整改到位。移动执法终端系统已经收录了市场监管领域的各项法律法规，执法人员输入关键字词，即可查阅到下达文书依据的具体条款，实现日常监管标准化和规范化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三、主要亮点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2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老城区市场监管局启用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智慧监管移动执法终端设备在全省尚属首创。创新了基层日常监管形式，监管从“纸质”走向“云端”,实现了传统监管到智慧监管的转变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>四、工作成效及意义价值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32" w:firstLineChars="200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检查一家餐饮单位，能提高工作效率70%以上。老城区现有各类餐饮单位4000多家，依托现有文旅优势，就餐消费的市民和游客非常多，保障食品安全更加重要。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  <w:lang w:val="en-US" w:eastAsia="zh-CN"/>
        </w:rPr>
        <w:t>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局智慧监管移动执法终端投用后，通过“移动办公+智慧监管”，执法人员进店一次，可以完成日常巡查检查、定期复查、下达文书等多项工作，通过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u w:val="none"/>
          <w:shd w:val="clear" w:fill="FFFFFF"/>
        </w:rPr>
        <w:t>建档立卡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3"/>
          <w:sz w:val="32"/>
          <w:szCs w:val="32"/>
          <w:shd w:val="clear" w:fill="FFFFFF"/>
        </w:rPr>
        <w:t>功能，完善经营主体画像，实现后期精准化监管。下一步，将探索将移动执法终端的功能范围延伸至市场监管的其他职能领域，进一步提高监管执法效能。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YjkxZjk1N2Y5N2ZhNzdlNmYzN2E3NzI3NTNlY2YifQ=="/>
  </w:docVars>
  <w:rsids>
    <w:rsidRoot w:val="00000000"/>
    <w:rsid w:val="17BF5F91"/>
    <w:rsid w:val="1D0B11F3"/>
    <w:rsid w:val="236312FC"/>
    <w:rsid w:val="282218B5"/>
    <w:rsid w:val="292D2D61"/>
    <w:rsid w:val="37AE58D5"/>
    <w:rsid w:val="39E93A0A"/>
    <w:rsid w:val="5C88008A"/>
    <w:rsid w:val="61C84692"/>
    <w:rsid w:val="6B4534DA"/>
    <w:rsid w:val="6E766699"/>
    <w:rsid w:val="72B82F50"/>
    <w:rsid w:val="75D7699A"/>
    <w:rsid w:val="7BB617CB"/>
    <w:rsid w:val="7EE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2024-03-07T03:20:29Z</dcterms:created>
  <dc:creator>a</dc:creator>
  <cp:lastModifiedBy>执手画素年</cp:lastModifiedBy>
  <dcterms:modified xsi:type="dcterms:W3CDTF">2024-03-07T03:41:52Z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61BC72CA8A104193BA42C866E07EB154_12</vt:lpwstr>
  </property>
</Properties>
</file>