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财政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财政</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rPr>
          <w:rFonts w:ascii="Times New Roman" w:hAnsi="Times New Roman"/>
        </w:rPr>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5000" w:type="pct"/>
        <w:tblInd w:w="0" w:type="dxa"/>
        <w:tblLayout w:type="fixed"/>
        <w:tblCellMar>
          <w:top w:w="17" w:type="dxa"/>
          <w:left w:w="17" w:type="dxa"/>
          <w:bottom w:w="17" w:type="dxa"/>
          <w:right w:w="17" w:type="dxa"/>
        </w:tblCellMar>
      </w:tblPr>
      <w:tblGrid>
        <w:gridCol w:w="366"/>
        <w:gridCol w:w="1110"/>
        <w:gridCol w:w="2304"/>
        <w:gridCol w:w="1095"/>
        <w:gridCol w:w="1005"/>
        <w:gridCol w:w="1110"/>
        <w:gridCol w:w="1320"/>
        <w:gridCol w:w="2580"/>
        <w:gridCol w:w="2580"/>
      </w:tblGrid>
      <w:tr>
        <w:tblPrEx>
          <w:tblCellMar>
            <w:top w:w="17" w:type="dxa"/>
            <w:left w:w="17" w:type="dxa"/>
            <w:bottom w:w="17" w:type="dxa"/>
            <w:right w:w="17" w:type="dxa"/>
          </w:tblCellMar>
        </w:tblPrEx>
        <w:trPr>
          <w:trHeight w:val="454" w:hRule="atLeast"/>
        </w:trPr>
        <w:tc>
          <w:tcPr>
            <w:tcW w:w="1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1267"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抽查项目</w:t>
            </w:r>
          </w:p>
        </w:tc>
        <w:tc>
          <w:tcPr>
            <w:tcW w:w="40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37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41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8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957"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957"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rPr>
        <w:tc>
          <w:tcPr>
            <w:tcW w:w="13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抽查大类</w:t>
            </w:r>
          </w:p>
        </w:tc>
        <w:tc>
          <w:tcPr>
            <w:tcW w:w="85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4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3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8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95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957" w:type="pct"/>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财税法律、法规、规章及政策执行情况监督</w:t>
            </w:r>
          </w:p>
        </w:tc>
        <w:tc>
          <w:tcPr>
            <w:tcW w:w="855"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1.国家机关、事业单位、社会团体、企业以及其他组织和个人（以下统称被监督对象）涉及的财政、财务、会计等事项；2.财政法律、法规、规章及政策的执行情况。</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国家机关、事业单位、社会团体、企业以及其他组织和个人</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现场检查、书面检查、网络检查等</w:t>
            </w:r>
          </w:p>
        </w:tc>
        <w:tc>
          <w:tcPr>
            <w:tcW w:w="489"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县级以上财政部门</w:t>
            </w:r>
          </w:p>
        </w:tc>
        <w:tc>
          <w:tcPr>
            <w:tcW w:w="957"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《财政部门监督办法》（财政部令第69号）第十六条。</w:t>
            </w:r>
          </w:p>
        </w:tc>
        <w:tc>
          <w:tcPr>
            <w:tcW w:w="957"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政府采购法规、政策执行情况监督检查</w:t>
            </w:r>
          </w:p>
        </w:tc>
        <w:tc>
          <w:tcPr>
            <w:tcW w:w="855"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代理省级政府采购业务的执业情况</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采购代理机构</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现场检查、</w:t>
            </w:r>
          </w:p>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w:t>
            </w:r>
          </w:p>
        </w:tc>
        <w:tc>
          <w:tcPr>
            <w:tcW w:w="489"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市级</w:t>
            </w:r>
          </w:p>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财政部门</w:t>
            </w:r>
          </w:p>
        </w:tc>
        <w:tc>
          <w:tcPr>
            <w:tcW w:w="957"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《中华人民共和国政府采购法》第十三条、第五十九条，《中华人民共和国政府采购法实施条例》第六十三条。</w:t>
            </w:r>
          </w:p>
        </w:tc>
        <w:tc>
          <w:tcPr>
            <w:tcW w:w="957"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地方商业银行和非银行金融机构的资产和财务管理情况监督检查</w:t>
            </w:r>
          </w:p>
        </w:tc>
        <w:tc>
          <w:tcPr>
            <w:tcW w:w="855"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是否存在违反财政部及我省地方金融机构资产财务监管有关规定的行为。</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地方商业银行和非银行金融机构</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现场检查、书面检查、网络检查、专业机构核查等</w:t>
            </w:r>
          </w:p>
        </w:tc>
        <w:tc>
          <w:tcPr>
            <w:tcW w:w="489"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市财政局</w:t>
            </w:r>
          </w:p>
        </w:tc>
        <w:tc>
          <w:tcPr>
            <w:tcW w:w="957"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《河南省财政监督办法》第十一条、第十三条，《金融企业财务规则》第四条。</w:t>
            </w:r>
          </w:p>
        </w:tc>
        <w:tc>
          <w:tcPr>
            <w:tcW w:w="957"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会计信息质量检查</w:t>
            </w:r>
          </w:p>
        </w:tc>
        <w:tc>
          <w:tcPr>
            <w:tcW w:w="855"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1.是否依法设置会计帐簿；2.会计凭证、会计帐簿、财务会计报告和其他会计资料是否真实、完整；3.会计核算是否符合本法和国家统一的会计制度的规定；4.从事会计工作的人员是否具备从业资格。</w:t>
            </w:r>
          </w:p>
        </w:tc>
        <w:tc>
          <w:tcPr>
            <w:tcW w:w="406"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国家机关、事业单位、社会团体、企业以及其他组织</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89"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县级以上财政部门</w:t>
            </w:r>
          </w:p>
        </w:tc>
        <w:tc>
          <w:tcPr>
            <w:tcW w:w="957"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《中华人民共和国会计法》第三十二条。</w:t>
            </w:r>
          </w:p>
        </w:tc>
        <w:tc>
          <w:tcPr>
            <w:tcW w:w="957"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5</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会计师事务所执业质量检查</w:t>
            </w:r>
          </w:p>
        </w:tc>
        <w:tc>
          <w:tcPr>
            <w:tcW w:w="855"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1.会计师事务所设立条件；</w:t>
            </w:r>
            <w:r>
              <w:rPr>
                <w:rFonts w:ascii="Times New Roman" w:hAnsi="Times New Roman" w:eastAsia="宋体" w:cs="Times New Roman"/>
                <w:color w:val="000000"/>
                <w:kern w:val="0"/>
                <w:sz w:val="24"/>
                <w:szCs w:val="24"/>
              </w:rPr>
              <w:t>2</w:t>
            </w:r>
            <w:r>
              <w:rPr>
                <w:rFonts w:hint="eastAsia" w:ascii="Times New Roman" w:hAnsi="Times New Roman" w:eastAsia="宋体" w:cs="宋体"/>
                <w:color w:val="000000"/>
                <w:kern w:val="0"/>
                <w:sz w:val="24"/>
                <w:szCs w:val="24"/>
              </w:rPr>
              <w:t>.合伙人或股东条件；</w:t>
            </w:r>
            <w:r>
              <w:rPr>
                <w:rFonts w:ascii="Times New Roman" w:hAnsi="Times New Roman" w:eastAsia="宋体" w:cs="Times New Roman"/>
                <w:color w:val="000000"/>
                <w:kern w:val="0"/>
                <w:sz w:val="24"/>
                <w:szCs w:val="24"/>
              </w:rPr>
              <w:t>3</w:t>
            </w:r>
            <w:r>
              <w:rPr>
                <w:rFonts w:hint="eastAsia" w:ascii="Times New Roman" w:hAnsi="Times New Roman" w:eastAsia="宋体" w:cs="宋体"/>
                <w:color w:val="000000"/>
                <w:kern w:val="0"/>
                <w:sz w:val="24"/>
                <w:szCs w:val="24"/>
              </w:rPr>
              <w:t>.主任会计师任职资格；</w:t>
            </w:r>
            <w:r>
              <w:rPr>
                <w:rFonts w:ascii="Times New Roman" w:hAnsi="Times New Roman" w:eastAsia="宋体" w:cs="Times New Roman"/>
                <w:color w:val="000000"/>
                <w:kern w:val="0"/>
                <w:sz w:val="24"/>
                <w:szCs w:val="24"/>
              </w:rPr>
              <w:t>4</w:t>
            </w:r>
            <w:r>
              <w:rPr>
                <w:rFonts w:hint="eastAsia" w:ascii="Times New Roman" w:hAnsi="Times New Roman" w:eastAsia="宋体" w:cs="宋体"/>
                <w:color w:val="000000"/>
                <w:kern w:val="0"/>
                <w:sz w:val="24"/>
                <w:szCs w:val="24"/>
              </w:rPr>
              <w:t>.会计事务所名称合规性；</w:t>
            </w:r>
            <w:r>
              <w:rPr>
                <w:rFonts w:ascii="Times New Roman" w:hAnsi="Times New Roman" w:eastAsia="宋体" w:cs="Times New Roman"/>
                <w:color w:val="000000"/>
                <w:kern w:val="0"/>
                <w:sz w:val="24"/>
                <w:szCs w:val="24"/>
              </w:rPr>
              <w:t>5</w:t>
            </w:r>
            <w:r>
              <w:rPr>
                <w:rFonts w:hint="eastAsia" w:ascii="Times New Roman" w:hAnsi="Times New Roman" w:eastAsia="宋体" w:cs="宋体"/>
                <w:color w:val="000000"/>
                <w:kern w:val="0"/>
                <w:sz w:val="24"/>
                <w:szCs w:val="24"/>
              </w:rPr>
              <w:t>.会计师事务所备案事项；</w:t>
            </w:r>
            <w:r>
              <w:rPr>
                <w:rFonts w:ascii="Times New Roman" w:hAnsi="Times New Roman" w:eastAsia="宋体" w:cs="Times New Roman"/>
                <w:color w:val="000000"/>
                <w:kern w:val="0"/>
                <w:sz w:val="24"/>
                <w:szCs w:val="24"/>
              </w:rPr>
              <w:t>6</w:t>
            </w:r>
            <w:r>
              <w:rPr>
                <w:rFonts w:hint="eastAsia" w:ascii="Times New Roman" w:hAnsi="Times New Roman" w:eastAsia="宋体" w:cs="宋体"/>
                <w:color w:val="000000"/>
                <w:kern w:val="0"/>
                <w:sz w:val="24"/>
                <w:szCs w:val="24"/>
              </w:rPr>
              <w:t>.会计师事务所的变更、终止；</w:t>
            </w:r>
            <w:r>
              <w:rPr>
                <w:rFonts w:ascii="Times New Roman" w:hAnsi="Times New Roman" w:eastAsia="宋体" w:cs="Times New Roman"/>
                <w:color w:val="000000"/>
                <w:kern w:val="0"/>
                <w:sz w:val="24"/>
                <w:szCs w:val="24"/>
              </w:rPr>
              <w:t>7</w:t>
            </w:r>
            <w:r>
              <w:rPr>
                <w:rFonts w:hint="eastAsia" w:ascii="Times New Roman" w:hAnsi="Times New Roman" w:eastAsia="宋体" w:cs="宋体"/>
                <w:color w:val="000000"/>
                <w:kern w:val="0"/>
                <w:sz w:val="24"/>
                <w:szCs w:val="24"/>
              </w:rPr>
              <w:t>.会计师事务所和注册会计师的执业情况；</w:t>
            </w:r>
            <w:r>
              <w:rPr>
                <w:rFonts w:ascii="Times New Roman" w:hAnsi="Times New Roman" w:eastAsia="宋体" w:cs="Times New Roman"/>
                <w:color w:val="000000"/>
                <w:kern w:val="0"/>
                <w:sz w:val="24"/>
                <w:szCs w:val="24"/>
              </w:rPr>
              <w:t>8</w:t>
            </w:r>
            <w:r>
              <w:rPr>
                <w:rFonts w:hint="eastAsia" w:ascii="Times New Roman" w:hAnsi="Times New Roman" w:eastAsia="宋体" w:cs="宋体"/>
                <w:color w:val="000000"/>
                <w:kern w:val="0"/>
                <w:sz w:val="24"/>
                <w:szCs w:val="24"/>
              </w:rPr>
              <w:t>.会计师事务所的质量控制；</w:t>
            </w:r>
            <w:r>
              <w:rPr>
                <w:rFonts w:ascii="Times New Roman" w:hAnsi="Times New Roman" w:eastAsia="宋体" w:cs="Times New Roman"/>
                <w:color w:val="000000"/>
                <w:kern w:val="0"/>
                <w:sz w:val="24"/>
                <w:szCs w:val="24"/>
              </w:rPr>
              <w:t>9</w:t>
            </w:r>
            <w:r>
              <w:rPr>
                <w:rFonts w:hint="eastAsia" w:ascii="Times New Roman" w:hAnsi="Times New Roman" w:eastAsia="宋体" w:cs="宋体"/>
                <w:color w:val="000000"/>
                <w:kern w:val="0"/>
                <w:sz w:val="24"/>
                <w:szCs w:val="24"/>
              </w:rPr>
              <w:t>.会计师事务所会计信息；</w:t>
            </w:r>
            <w:r>
              <w:rPr>
                <w:rFonts w:ascii="Times New Roman" w:hAnsi="Times New Roman" w:eastAsia="宋体" w:cs="Times New Roman"/>
                <w:color w:val="000000"/>
                <w:kern w:val="0"/>
                <w:sz w:val="24"/>
                <w:szCs w:val="24"/>
              </w:rPr>
              <w:t>10</w:t>
            </w:r>
            <w:r>
              <w:rPr>
                <w:rFonts w:hint="eastAsia" w:ascii="Times New Roman" w:hAnsi="Times New Roman" w:eastAsia="宋体" w:cs="宋体"/>
                <w:color w:val="000000"/>
                <w:kern w:val="0"/>
                <w:sz w:val="24"/>
                <w:szCs w:val="24"/>
              </w:rPr>
              <w:t>.法律、行政法规规定的其他监督检查事项；</w:t>
            </w:r>
            <w:r>
              <w:rPr>
                <w:rFonts w:ascii="Times New Roman" w:hAnsi="Times New Roman" w:eastAsia="宋体" w:cs="Times New Roman"/>
                <w:color w:val="000000"/>
                <w:kern w:val="0"/>
                <w:sz w:val="24"/>
                <w:szCs w:val="24"/>
              </w:rPr>
              <w:t>11</w:t>
            </w:r>
            <w:r>
              <w:rPr>
                <w:rFonts w:hint="eastAsia" w:ascii="Times New Roman" w:hAnsi="Times New Roman" w:eastAsia="宋体" w:cs="宋体"/>
                <w:color w:val="000000"/>
                <w:kern w:val="0"/>
                <w:sz w:val="24"/>
                <w:szCs w:val="24"/>
              </w:rPr>
              <w:t>.会计师事务所执业质量检查。</w:t>
            </w:r>
          </w:p>
        </w:tc>
        <w:tc>
          <w:tcPr>
            <w:tcW w:w="406" w:type="pct"/>
            <w:tcBorders>
              <w:top w:val="single" w:color="auto" w:sz="4" w:space="0"/>
              <w:left w:val="nil"/>
              <w:bottom w:val="single" w:color="auto" w:sz="4" w:space="0"/>
              <w:right w:val="single" w:color="auto" w:sz="4" w:space="0"/>
            </w:tcBorders>
            <w:shd w:val="clear" w:color="auto" w:fill="auto"/>
            <w:noWrap/>
            <w:vAlign w:val="center"/>
          </w:tcPr>
          <w:p>
            <w:pPr>
              <w:widowControl/>
              <w:spacing w:line="26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会计师事务所</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489"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市财政局</w:t>
            </w:r>
          </w:p>
        </w:tc>
        <w:tc>
          <w:tcPr>
            <w:tcW w:w="957"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《会计师事务所执业许可和监督管理办法》（财政部令第97号）第七条、第二十五条、第六十条；</w:t>
            </w:r>
          </w:p>
          <w:p>
            <w:pPr>
              <w:widowControl/>
              <w:spacing w:line="26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《中华人民共和国注册会计师法》第五条、第二十六条、第二十七条。</w:t>
            </w:r>
          </w:p>
        </w:tc>
        <w:tc>
          <w:tcPr>
            <w:tcW w:w="957" w:type="pct"/>
            <w:tcBorders>
              <w:top w:val="single" w:color="auto" w:sz="4" w:space="0"/>
              <w:left w:val="nil"/>
              <w:bottom w:val="single" w:color="auto" w:sz="4" w:space="0"/>
              <w:right w:val="single" w:color="auto" w:sz="4" w:space="0"/>
            </w:tcBorders>
            <w:shd w:val="clear" w:color="auto" w:fill="auto"/>
            <w:vAlign w:val="center"/>
          </w:tcPr>
          <w:p>
            <w:pPr>
              <w:widowControl/>
              <w:spacing w:line="26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B214405"/>
    <w:rsid w:val="0CF37DC3"/>
    <w:rsid w:val="1BCC4982"/>
    <w:rsid w:val="2B567744"/>
    <w:rsid w:val="32E06D76"/>
    <w:rsid w:val="35242BAD"/>
    <w:rsid w:val="55F03F1F"/>
    <w:rsid w:val="60034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1087</Words>
  <Characters>1128</Characters>
  <Lines>9</Lines>
  <Paragraphs>2</Paragraphs>
  <TotalTime>2</TotalTime>
  <ScaleCrop>false</ScaleCrop>
  <LinksUpToDate>false</LinksUpToDate>
  <CharactersWithSpaces>1132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2023-07-17T09:08:44Z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01A6F59E0BFC44579BC3B7588E0AF72C</vt:lpwstr>
  </property>
</Properties>
</file>