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国家税务总局洛阳市税务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</w:t>
      </w:r>
      <w:r>
        <w:rPr>
          <w:rFonts w:hint="eastAsia" w:ascii="仿宋_GB2312" w:eastAsia="仿宋_GB2312"/>
          <w:sz w:val="32"/>
          <w:szCs w:val="32"/>
          <w:lang w:eastAsia="zh-CN"/>
        </w:rPr>
        <w:t>国家税务总局洛阳市税务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5016" w:type="pct"/>
        <w:tblInd w:w="0" w:type="dxa"/>
        <w:tblLayout w:type="autofit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484"/>
        <w:gridCol w:w="720"/>
        <w:gridCol w:w="1136"/>
        <w:gridCol w:w="1096"/>
        <w:gridCol w:w="4099"/>
        <w:gridCol w:w="622"/>
        <w:gridCol w:w="549"/>
        <w:gridCol w:w="882"/>
        <w:gridCol w:w="1266"/>
        <w:gridCol w:w="2659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部门</w:t>
            </w:r>
          </w:p>
        </w:tc>
        <w:tc>
          <w:tcPr>
            <w:tcW w:w="4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4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15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检查内容</w:t>
            </w:r>
          </w:p>
        </w:tc>
        <w:tc>
          <w:tcPr>
            <w:tcW w:w="23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2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检查部门实施层级</w:t>
            </w:r>
          </w:p>
        </w:tc>
        <w:tc>
          <w:tcPr>
            <w:tcW w:w="46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9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color w:val="000000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国家税务总局洛阳市税务局</w:t>
            </w:r>
          </w:p>
        </w:tc>
        <w:tc>
          <w:tcPr>
            <w:tcW w:w="4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依法检查纳税人、扣缴义务人和其他涉税当事人履行纳税义务、扣缴税款义务情况及其他税法遵从情况。</w:t>
            </w:r>
          </w:p>
        </w:tc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辖区内纳税人、扣缴义务人和其他涉税当事人</w:t>
            </w:r>
          </w:p>
        </w:tc>
        <w:tc>
          <w:tcPr>
            <w:tcW w:w="15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（一）检查纳税人的账簿、记账凭证、报表和有关资料，检查扣缴义务人代扣代缴、代收代缴税款账簿、记账凭证和有关资料；（二）到纳税人的生产、经营场所和货物存放地检查纳税人应纳税的商品、货物或者其他财产，检查扣缴义务人与代扣代缴、代收代缴税款有关的经营情况；（三）责成纳税人、扣缴义务人提供与纳税或者代扣代缴、代收代缴税款有关的文件、证明材料和有关资料；（四）询问纳税人、扣缴义务人与代扣代缴、代收代缴税款有关的问题和情况；（五）到车站、码头、机场、邮政企业及其分支机构检查纳税人托运、邮寄应纳税商品、货物或者其他财产的有关单据、凭证和有关资料；（六）经县以上税务局（分局）局长批准，凭全国统一格式的检查存款账户许可证明，查询从事生产、经营的纳税人、扣缴义务人在银行或者其他金融机构的存款账户。经设区的市、自治州以上税务局（分局）局长批准，可以查询案件涉嫌人员的储蓄存款。</w:t>
            </w:r>
          </w:p>
        </w:tc>
        <w:tc>
          <w:tcPr>
            <w:tcW w:w="2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现场检查、调账检查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市税务稽查部门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《中华人民共和国税收征收管理法》第四章第五十四条、第五十五条、第五十六条、第五十七条、第五十八条；</w:t>
            </w:r>
          </w:p>
        </w:tc>
        <w:tc>
          <w:tcPr>
            <w:tcW w:w="9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ascii="Times New Roman" w:hAnsi="Times New Roman"/>
        </w:rPr>
      </w:pPr>
    </w:p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79E3177"/>
    <w:rsid w:val="0B214405"/>
    <w:rsid w:val="1BCC4982"/>
    <w:rsid w:val="2B567744"/>
    <w:rsid w:val="452F52C6"/>
    <w:rsid w:val="5325267C"/>
    <w:rsid w:val="55F03F1F"/>
    <w:rsid w:val="6003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742</Words>
  <Characters>762</Characters>
  <Lines>9</Lines>
  <Paragraphs>2</Paragraphs>
  <TotalTime>0</TotalTime>
  <ScaleCrop>false</ScaleCrop>
  <LinksUpToDate>false</LinksUpToDate>
  <CharactersWithSpaces>766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2023-07-17T08:30:54Z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59849A352E194344B31E020A58619679</vt:lpwstr>
  </property>
</Properties>
</file>