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生态环境局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生态环境</w:t>
      </w:r>
      <w:r>
        <w:rPr>
          <w:rFonts w:hint="eastAsia" w:ascii="仿宋_GB2312" w:eastAsia="仿宋_GB2312"/>
          <w:sz w:val="32"/>
          <w:szCs w:val="32"/>
        </w:rPr>
        <w:t>局《202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w:t>
      </w:r>
      <w:bookmarkStart w:id="1" w:name="_GoBack"/>
      <w:bookmarkEnd w:id="1"/>
      <w:r>
        <w:rPr>
          <w:rFonts w:hint="eastAsia" w:ascii="仿宋_GB2312" w:eastAsia="仿宋_GB2312"/>
          <w:sz w:val="32"/>
          <w:szCs w:val="32"/>
          <w:lang w:val="en-US" w:eastAsia="zh-CN"/>
        </w:rPr>
        <w:t>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5005" w:type="pct"/>
        <w:tblInd w:w="0" w:type="dxa"/>
        <w:tblLayout w:type="fixed"/>
        <w:tblCellMar>
          <w:top w:w="17" w:type="dxa"/>
          <w:left w:w="17" w:type="dxa"/>
          <w:bottom w:w="17" w:type="dxa"/>
          <w:right w:w="17" w:type="dxa"/>
        </w:tblCellMar>
      </w:tblPr>
      <w:tblGrid>
        <w:gridCol w:w="320"/>
        <w:gridCol w:w="1105"/>
        <w:gridCol w:w="1710"/>
        <w:gridCol w:w="2025"/>
        <w:gridCol w:w="630"/>
        <w:gridCol w:w="1050"/>
        <w:gridCol w:w="1080"/>
        <w:gridCol w:w="3030"/>
        <w:gridCol w:w="2534"/>
      </w:tblGrid>
      <w:tr>
        <w:tblPrEx>
          <w:tblCellMar>
            <w:top w:w="17" w:type="dxa"/>
            <w:left w:w="17" w:type="dxa"/>
            <w:bottom w:w="17" w:type="dxa"/>
            <w:right w:w="17" w:type="dxa"/>
          </w:tblCellMar>
        </w:tblPrEx>
        <w:trPr>
          <w:trHeight w:val="454" w:hRule="atLeast"/>
          <w:tblHeader/>
        </w:trPr>
        <w:tc>
          <w:tcPr>
            <w:tcW w:w="1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序号</w:t>
            </w:r>
          </w:p>
        </w:tc>
        <w:tc>
          <w:tcPr>
            <w:tcW w:w="1043"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抽查项目</w:t>
            </w:r>
          </w:p>
        </w:tc>
        <w:tc>
          <w:tcPr>
            <w:tcW w:w="75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检查对象</w:t>
            </w:r>
          </w:p>
        </w:tc>
        <w:tc>
          <w:tcPr>
            <w:tcW w:w="23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事项类别</w:t>
            </w:r>
          </w:p>
        </w:tc>
        <w:tc>
          <w:tcPr>
            <w:tcW w:w="389"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检查方式</w:t>
            </w:r>
          </w:p>
        </w:tc>
        <w:tc>
          <w:tcPr>
            <w:tcW w:w="40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检查主体</w:t>
            </w:r>
          </w:p>
        </w:tc>
        <w:tc>
          <w:tcPr>
            <w:tcW w:w="112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检查依据</w:t>
            </w:r>
          </w:p>
        </w:tc>
        <w:tc>
          <w:tcPr>
            <w:tcW w:w="939"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kern w:val="0"/>
                <w:sz w:val="24"/>
                <w:szCs w:val="24"/>
                <w:lang w:eastAsia="zh-CN"/>
              </w:rPr>
            </w:pPr>
            <w:r>
              <w:rPr>
                <w:rFonts w:hint="eastAsia" w:ascii="Times New Roman" w:hAnsi="Times New Roman" w:eastAsia="黑体" w:cs="宋体"/>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1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抽查大类</w:t>
            </w:r>
          </w:p>
        </w:tc>
        <w:tc>
          <w:tcPr>
            <w:tcW w:w="63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kern w:val="0"/>
                <w:sz w:val="24"/>
                <w:szCs w:val="24"/>
              </w:rPr>
            </w:pPr>
            <w:r>
              <w:rPr>
                <w:rFonts w:hint="eastAsia" w:ascii="Times New Roman" w:hAnsi="Times New Roman" w:eastAsia="黑体" w:cs="宋体"/>
                <w:kern w:val="0"/>
                <w:sz w:val="24"/>
                <w:szCs w:val="24"/>
              </w:rPr>
              <w:t>抽查事项</w:t>
            </w:r>
          </w:p>
        </w:tc>
        <w:tc>
          <w:tcPr>
            <w:tcW w:w="75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23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38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40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11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c>
          <w:tcPr>
            <w:tcW w:w="939"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kern w:val="0"/>
                <w:sz w:val="24"/>
                <w:szCs w:val="24"/>
              </w:rPr>
            </w:pP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重点排污单位</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是否存在环境违法行为</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列入重点排污单位名单的企业</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县级以上生态环境行政执法人员</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《中华人民共和国环境保护法》第二十四条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一般排污单位</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是否存在环境违法行为</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列入一般排污单位名单的企业</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县级以上生态环境行政执法人员</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《中华人民共和国环境保护法》第二十四条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3</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建设项目</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项目建设过程中是否存在违法行为</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全市各类建设项目</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县级以上生态环境行政执法人员</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《中华人民共和国环境影响评价法》第二十八条、《建设项目环境保护管理条例》第二十条等</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4</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污染源日常环境监管</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普通污染源监督检查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行政区域内所有普通污染源（本表普通污染源是指危险废物、进口废物、废弃电器电子产品及辐射类污染源以外的污染源）</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《中华人民共和国环境保护法》、《中华人民共和国水污染防治法》、《中华人民共和国大气污染防治法》、《中华人民共和国固体废物污染环境防治法》、《中华人民共和国环境噪声污染防治法》</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5</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污染源日常环境监管</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危险废物经营单位监督检查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行政区域内所有危险废物经营单位</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《中华人民共和国固体废物污染环境防治法》第十五条；《危险废物经营许可证管理办法》（国务院令第408 号）第十七条；《危险废物转移联单管理办法》第三条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6</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污染源日常环境监管</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固体废物进口加工利用企业监督检查。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行政区内固体废物进口加工利用企业</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《中华人民共和国固体废物污染环境防治法》第十五条；《固体废物进口管理办法》（环境保护部、商务部、国家发展改革委、海关总署、国家质检总局令第12号）第三十六条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7</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污染源日常环境监管</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废弃电器电子产品回收处理企业监督检查。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行政区内纳入国家废弃电器电子产品处理基金补贴，并具有废弃电器电子产品处理企业资格的企业</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《中华人民共和国固体废物污染环境防治法》第十五条；《废弃电器电子产品回收处理管理条例》（国务院令第551 号）第二十五条；《电子废物污染环境防治管理办法》第三条（国家环境保护总局 令第 40 号）；《关于印发〈废弃电器电子产品处理基金征收使用管理办法〉的通知》（财综〔2012〕34号）；《关于组织开展废弃电器电子产品拆解处理情况审核工作的通知》（环发〔2012〕110号）；《关于发布〈废弃电器电子产品拆解处理情况审核工作指南（2019年版）〉的公告》（国环规固体〔2019〕1号，2019年10月1日期施行）</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8</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污染源日常环境监管</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伴生放射性矿产资源开发和加工利用项目监督检查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涉及伴生放射性矿产资源开发和加工利用项目</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《中华人民共和国放射性污染防治法》第十一条、第十二条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9</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污染源日常环境监管</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核技术利用单位监督检查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生产、销售、使用放射性同位素或射线装置的单位</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《中华人民共和国放射性污染防治法》第十一条、第十二条；《放射性同位素与射线装置安全和防护条例》第四十六条、第四十八条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10</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核与辐射安全检查</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输变电项目日常监督检查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输变电项目</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市级生态环境部门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《中华人民共和国环境影响评价法》第二十八条</w:t>
            </w:r>
          </w:p>
          <w:p>
            <w:pPr>
              <w:widowControl/>
              <w:spacing w:line="28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《建设项目环境保护管理条例》（1998年国务院令第253号发布，2017年国务院令第682号修订）第二十条</w:t>
            </w:r>
          </w:p>
          <w:p>
            <w:pPr>
              <w:widowControl/>
              <w:spacing w:line="28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原环境保护部《关于发布&lt;建设项目竣工环境保护验收暂行办法&gt;的公告》（国环规环评〔2017〕4号）第十五条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11</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污染源日常环境监管</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建设伴有电磁辐射的建设项目、设施监督检查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本行政区内的建设伴有电磁辐射的建设项目、设施。</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《电磁辐射环境保护管理办法》第八条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12</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污染源日常环境监管</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入河排污口监督检查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在洛阳市内江河、湖泊设置排污口的建设单位</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现场检查、书面检查、非现场监管等</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市级生态环境部门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《中华人民共和国水污染防治法》第三十条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13</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对水污染防治工作的行政检查</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对水污染防治工作的行政检查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排放水污染物的企业事业单位和其他生产经营者</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市生态环境局</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《中华人民共和国水污染防治法》第九条、第三十条。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14</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对企业事业单位、其他生产经营者排污许可证的行政检查</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对企业事业单位、其他生产经营者排污许可证的行政检查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取得排污许可证的企业事业单位和其他生产经营者</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市生态环境局</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《排污许可管理办法（试行）》第三十八条、第三十九条。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3501"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15</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污染源日常环境监管</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涉消耗臭氧层物质（ODS）的生产、使用、销售、维修、回收、销毁及原料用途等企业和单位的监管</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涉消耗臭氧层物质（ODS）的生产、使用、销售、维修、回收、销毁及原料用途等企业和单位</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现场检查、书面检查等</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市级生态环境部门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《中华人民共和国大气污染防治法》第二十九条、第八十五条</w:t>
            </w:r>
          </w:p>
          <w:p>
            <w:pPr>
              <w:widowControl/>
              <w:spacing w:line="300" w:lineRule="exact"/>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《消耗臭氧层物质管理条例》（2010年国务院令第573号公布，2018年国务院令第698号修订）第四条、第二十五条</w:t>
            </w:r>
          </w:p>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《消耗臭氧层物质进出口管理办法》（2014年原环境保护部令第26号公布，2019年生态环境部令第7号修订）第十九条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16</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对大气污染防治实施的行政检查</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对大气污染防治实施的行政检查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排放大气污染物的企业事业单位和其他生产经营者</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市生态环境局</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《中华人民共和国大气污染防治法》第五条、第二十五条、第二十九条。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17</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对排放环境噪声的单位的行政检查</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对排放环境噪声的单位的行政检查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排放环境噪声的单位</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重点检查事项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市生态环境局</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《中华人民共和国环境噪声污染防治法》第六条、第二十一条。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18</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环评文件编制单位现场检查</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环评文件编制单位现场检查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住所在洛阳市辖区开展环境影响评价的编制单位及其编制人员</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《建设项目环境影响报告书（表）编制监督管理办法》（生态环境部令第9号）第二十三条</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19</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环境监测监督检查</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社会环境监测机构日常监管</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行政区内参与政府环境监测服务采购以及从事有关环境质量、污染监控监测工作的社会环境监测机构</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一般检查事项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中华人民共和国环境保护法》（中华人民共和国主席令第九号）第十七条；《生态环境监测网络建设方案的通知》（国办发〔2015〕56号）；《关于推进环境监测服务社会化的指导意见》（环发〔2015〕20号）；《市场监管总局生态环境部关于印发检验检测机构资质认定生态环境监测机构评审补充要求的通知》（国市监检测〔2018〕245号）</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1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20</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对新建、改建、扩建房屋建筑和市政基础设施工程文明</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施工管理</w:t>
            </w:r>
          </w:p>
        </w:tc>
        <w:tc>
          <w:tcPr>
            <w:tcW w:w="634"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对日照强烈时段，禁止粉刷涂料，喷涂油漆等产生VOC的工序进行巡查抽查</w:t>
            </w:r>
          </w:p>
        </w:tc>
        <w:tc>
          <w:tcPr>
            <w:tcW w:w="75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施工单位</w:t>
            </w:r>
          </w:p>
        </w:tc>
        <w:tc>
          <w:tcPr>
            <w:tcW w:w="23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kern w:val="0"/>
                <w:sz w:val="24"/>
                <w:szCs w:val="24"/>
                <w:lang w:eastAsia="zh-CN"/>
              </w:rPr>
            </w:pPr>
            <w:r>
              <w:rPr>
                <w:rFonts w:hint="eastAsia" w:ascii="Times New Roman" w:hAnsi="Times New Roman" w:eastAsia="宋体" w:cs="宋体"/>
                <w:kern w:val="0"/>
                <w:sz w:val="24"/>
                <w:szCs w:val="24"/>
              </w:rPr>
              <w:t>一般检</w:t>
            </w:r>
          </w:p>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查事项</w:t>
            </w:r>
          </w:p>
        </w:tc>
        <w:tc>
          <w:tcPr>
            <w:tcW w:w="38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现场检查</w:t>
            </w:r>
          </w:p>
        </w:tc>
        <w:tc>
          <w:tcPr>
            <w:tcW w:w="40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kern w:val="0"/>
                <w:sz w:val="24"/>
                <w:szCs w:val="24"/>
              </w:rPr>
            </w:pPr>
            <w:r>
              <w:rPr>
                <w:rFonts w:hint="eastAsia" w:ascii="Times New Roman" w:hAnsi="Times New Roman" w:eastAsia="宋体" w:cs="宋体"/>
                <w:kern w:val="0"/>
                <w:sz w:val="24"/>
                <w:szCs w:val="24"/>
              </w:rPr>
              <w:t>县级以上生态环境部门</w:t>
            </w:r>
          </w:p>
        </w:tc>
        <w:tc>
          <w:tcPr>
            <w:tcW w:w="1123"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ascii="Times New Roman" w:hAnsi="Times New Roman" w:eastAsia="宋体" w:cs="宋体"/>
                <w:kern w:val="0"/>
                <w:sz w:val="24"/>
                <w:szCs w:val="24"/>
              </w:rPr>
            </w:pPr>
            <w:r>
              <w:rPr>
                <w:rFonts w:hint="eastAsia" w:ascii="Times New Roman" w:hAnsi="Times New Roman" w:eastAsia="宋体" w:cs="宋体"/>
                <w:kern w:val="0"/>
                <w:sz w:val="24"/>
                <w:szCs w:val="24"/>
              </w:rPr>
              <w:t>生态环境部《关于加强重污染天气应对夯实应急减排措施的指导意见》</w:t>
            </w:r>
          </w:p>
        </w:tc>
        <w:tc>
          <w:tcPr>
            <w:tcW w:w="939"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rPr>
                <w:rFonts w:hint="eastAsia" w:ascii="Times New Roman" w:hAnsi="Times New Roman" w:eastAsia="宋体" w:cs="宋体"/>
                <w:kern w:val="0"/>
                <w:sz w:val="24"/>
                <w:szCs w:val="24"/>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0C7833C2"/>
    <w:rsid w:val="1A181473"/>
    <w:rsid w:val="1BCC4982"/>
    <w:rsid w:val="2B567744"/>
    <w:rsid w:val="2BE47162"/>
    <w:rsid w:val="45D55A0A"/>
    <w:rsid w:val="55F03F1F"/>
    <w:rsid w:val="600345F3"/>
    <w:rsid w:val="675F5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3058</Words>
  <Characters>3162</Characters>
  <Lines>9</Lines>
  <Paragraphs>2</Paragraphs>
  <TotalTime>4</TotalTime>
  <ScaleCrop>false</ScaleCrop>
  <LinksUpToDate>false</LinksUpToDate>
  <CharactersWithSpaces>3173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2023-07-17T08:16:46Z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86BE5EBCA8FE45C8B9D743FC9B72D601</vt:lpwstr>
  </property>
</Properties>
</file>