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44"/>
          <w:szCs w:val="44"/>
        </w:rPr>
      </w:pPr>
    </w:p>
    <w:p>
      <w:pPr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pict>
          <v:group id="_x0000_s1026" o:spid="_x0000_s1026" o:spt="203" style="position:absolute;left:0pt;margin-left:2.7pt;margin-top:29.95pt;height:141.1pt;width:459pt;z-index:251659264;mso-width-relative:page;mso-height-relative:page;" coordorigin="1420,4736" coordsize="9180,2822">
            <o:lock v:ext="edit" aspectratio="f"/>
            <v:line id="_x0000_s1027" o:spid="_x0000_s1027" o:spt="20" style="position:absolute;left:1420;top:7550;flip:y;height:8;width:9180;" filled="f" stroked="t" coordsize="21600,21600">
              <v:path arrowok="t"/>
              <v:fill on="f" focussize="0,0"/>
              <v:stroke weight="2.25pt" color="#FF0000"/>
              <v:imagedata o:title=""/>
              <o:lock v:ext="edit" aspectratio="f"/>
            </v:line>
            <v:shape id="_x0000_s1028" o:spid="_x0000_s1028" o:spt="136" alt="洛阳市市场监督管理局文件" type="#_x0000_t136" style="position:absolute;left:1690;top:4736;height:1275;width:8655;" fillcolor="#FF0000" filled="t" stroked="t" coordsize="21600,21600" adj="10800">
              <v:path/>
              <v:fill on="t" color2="#FFFFFF" focussize="0,0"/>
              <v:stroke color="#FF0000"/>
              <v:imagedata o:title=""/>
              <o:lock v:ext="edit" aspectratio="f"/>
              <v:textpath on="t" fitshape="t" fitpath="t" trim="t" xscale="f" string="洛阳市民族宗教事务局文件" style="font-family:方正小标宋简体;font-size:36pt;v-text-align:center;"/>
            </v:shape>
          </v:group>
        </w:pict>
      </w:r>
    </w:p>
    <w:p>
      <w:pPr>
        <w:jc w:val="center"/>
        <w:rPr>
          <w:b/>
          <w:sz w:val="44"/>
          <w:szCs w:val="44"/>
        </w:rPr>
      </w:pPr>
    </w:p>
    <w:p>
      <w:pPr>
        <w:jc w:val="center"/>
        <w:rPr>
          <w:b/>
          <w:sz w:val="44"/>
          <w:szCs w:val="44"/>
        </w:rPr>
      </w:pPr>
    </w:p>
    <w:p>
      <w:pPr>
        <w:jc w:val="center"/>
        <w:rPr>
          <w:b/>
          <w:sz w:val="44"/>
          <w:szCs w:val="44"/>
        </w:rPr>
      </w:pPr>
    </w:p>
    <w:p>
      <w:pPr>
        <w:spacing w:line="600" w:lineRule="exact"/>
        <w:jc w:val="center"/>
        <w:rPr>
          <w:rFonts w:ascii="仿宋_GB2312" w:eastAsia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洛</w:t>
      </w:r>
      <w:r>
        <w:rPr>
          <w:rFonts w:hint="eastAsia" w:ascii="仿宋_GB2312" w:hAnsi="仿宋_GB2312" w:eastAsia="仿宋_GB2312" w:cs="仿宋_GB2312"/>
          <w:color w:val="FF0000"/>
          <w:sz w:val="32"/>
          <w:szCs w:val="32"/>
        </w:rPr>
        <w:t>XX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〔202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 xml:space="preserve">〕  号 </w:t>
      </w:r>
    </w:p>
    <w:p>
      <w:pPr>
        <w:jc w:val="center"/>
        <w:rPr>
          <w:b/>
          <w:sz w:val="44"/>
          <w:szCs w:val="44"/>
        </w:rPr>
      </w:pPr>
    </w:p>
    <w:p>
      <w:pPr>
        <w:jc w:val="center"/>
        <w:rPr>
          <w:b/>
          <w:sz w:val="44"/>
          <w:szCs w:val="44"/>
        </w:rPr>
      </w:pPr>
    </w:p>
    <w:p>
      <w:pPr>
        <w:jc w:val="center"/>
        <w:rPr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关于印发《202</w:t>
      </w:r>
      <w:r>
        <w:rPr>
          <w:rFonts w:hint="eastAsia"/>
          <w:b/>
          <w:sz w:val="44"/>
          <w:szCs w:val="44"/>
          <w:lang w:val="en-US" w:eastAsia="zh-CN"/>
        </w:rPr>
        <w:t>3</w:t>
      </w:r>
      <w:r>
        <w:rPr>
          <w:rFonts w:hint="eastAsia"/>
          <w:b/>
          <w:sz w:val="44"/>
          <w:szCs w:val="44"/>
        </w:rPr>
        <w:t>年触发式 “双随机、一公开”监管抽查计划》的通知</w:t>
      </w:r>
    </w:p>
    <w:p>
      <w:pPr>
        <w:rPr>
          <w:color w:val="FF0000"/>
          <w:sz w:val="32"/>
          <w:szCs w:val="32"/>
        </w:rPr>
      </w:pPr>
    </w:p>
    <w:p>
      <w:pPr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各有关单位：</w:t>
      </w:r>
    </w:p>
    <w:p>
      <w:pPr>
        <w:ind w:firstLine="640" w:firstLineChars="200"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现将洛阳市</w:t>
      </w:r>
      <w:r>
        <w:rPr>
          <w:rFonts w:hint="eastAsia" w:ascii="仿宋_GB2312" w:eastAsia="仿宋_GB2312"/>
          <w:sz w:val="32"/>
          <w:szCs w:val="32"/>
          <w:lang w:eastAsia="zh-CN"/>
        </w:rPr>
        <w:t>民族宗教事务局</w:t>
      </w:r>
      <w:r>
        <w:rPr>
          <w:rFonts w:hint="eastAsia" w:ascii="仿宋_GB2312" w:eastAsia="仿宋_GB2312"/>
          <w:sz w:val="32"/>
          <w:szCs w:val="32"/>
        </w:rPr>
        <w:t>《202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/>
          <w:sz w:val="32"/>
          <w:szCs w:val="32"/>
        </w:rPr>
        <w:t>年触发式“双随机、一公开”监管抽查计划》印发给你们，请你们结合实际，认真做好“双随机、一公开”监管工作。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附件：《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2023年</w:t>
      </w:r>
      <w:r>
        <w:rPr>
          <w:rFonts w:hint="eastAsia" w:ascii="仿宋_GB2312" w:eastAsia="仿宋_GB2312"/>
          <w:sz w:val="32"/>
          <w:szCs w:val="32"/>
        </w:rPr>
        <w:t>触发式“双随机、一公开”监管抽查计划》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</w:p>
    <w:p>
      <w:pPr>
        <w:ind w:firstLine="5120" w:firstLineChars="16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202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eastAsia="仿宋_GB2312"/>
          <w:sz w:val="32"/>
          <w:szCs w:val="32"/>
        </w:rPr>
        <w:t>日</w:t>
      </w:r>
    </w:p>
    <w:p>
      <w:pPr>
        <w:pStyle w:val="2"/>
        <w:spacing w:before="0" w:beforeLines="0"/>
        <w:rPr>
          <w:rFonts w:ascii="Times New Roman" w:hAnsi="Times New Roman"/>
        </w:rPr>
        <w:sectPr>
          <w:type w:val="continuous"/>
          <w:pgSz w:w="11906" w:h="16838"/>
          <w:pgMar w:top="1701" w:right="1474" w:bottom="1701" w:left="1588" w:header="851" w:footer="992" w:gutter="0"/>
          <w:cols w:space="425" w:num="1"/>
          <w:docGrid w:type="lines" w:linePitch="312" w:charSpace="0"/>
        </w:sectPr>
      </w:pPr>
      <w:bookmarkStart w:id="0" w:name="_Toc122976144"/>
    </w:p>
    <w:p>
      <w:pPr>
        <w:pStyle w:val="2"/>
      </w:pPr>
      <w:r>
        <w:rPr>
          <w:rFonts w:hint="eastAsia" w:ascii="Times New Roman" w:hAnsi="Times New Roman"/>
          <w:lang w:val="en-US" w:eastAsia="zh-CN"/>
        </w:rPr>
        <w:t>2023</w:t>
      </w:r>
      <w:bookmarkStart w:id="1" w:name="_GoBack"/>
      <w:bookmarkEnd w:id="1"/>
      <w:r>
        <w:rPr>
          <w:rFonts w:hint="eastAsia" w:ascii="Times New Roman" w:hAnsi="Times New Roman"/>
          <w:lang w:val="en-US" w:eastAsia="zh-CN"/>
        </w:rPr>
        <w:t>年</w:t>
      </w:r>
      <w:r>
        <w:rPr>
          <w:rFonts w:hint="eastAsia" w:ascii="Times New Roman" w:hAnsi="Times New Roman"/>
        </w:rPr>
        <w:t>触发式“双随机、一公开”监管抽查</w:t>
      </w:r>
      <w:bookmarkEnd w:id="0"/>
      <w:r>
        <w:rPr>
          <w:rFonts w:hint="eastAsia" w:ascii="Times New Roman" w:hAnsi="Times New Roman"/>
        </w:rPr>
        <w:t>计划</w:t>
      </w:r>
    </w:p>
    <w:tbl>
      <w:tblPr>
        <w:tblStyle w:val="3"/>
        <w:tblW w:w="5011" w:type="pct"/>
        <w:tblInd w:w="0" w:type="dxa"/>
        <w:tblLayout w:type="fixed"/>
        <w:tblCellMar>
          <w:top w:w="17" w:type="dxa"/>
          <w:left w:w="17" w:type="dxa"/>
          <w:bottom w:w="17" w:type="dxa"/>
          <w:right w:w="17" w:type="dxa"/>
        </w:tblCellMar>
      </w:tblPr>
      <w:tblGrid>
        <w:gridCol w:w="450"/>
        <w:gridCol w:w="1200"/>
        <w:gridCol w:w="1035"/>
        <w:gridCol w:w="1125"/>
        <w:gridCol w:w="1245"/>
        <w:gridCol w:w="1635"/>
        <w:gridCol w:w="3915"/>
        <w:gridCol w:w="2895"/>
      </w:tblGrid>
      <w:tr>
        <w:tblPrEx>
          <w:tblCellMar>
            <w:top w:w="17" w:type="dxa"/>
            <w:left w:w="17" w:type="dxa"/>
            <w:bottom w:w="17" w:type="dxa"/>
            <w:right w:w="17" w:type="dxa"/>
          </w:tblCellMar>
        </w:tblPrEx>
        <w:trPr>
          <w:trHeight w:val="454" w:hRule="atLeast"/>
        </w:trPr>
        <w:tc>
          <w:tcPr>
            <w:tcW w:w="1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黑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黑体" w:cs="宋体"/>
                <w:kern w:val="0"/>
                <w:sz w:val="24"/>
                <w:szCs w:val="24"/>
              </w:rPr>
              <w:t>序号</w:t>
            </w:r>
          </w:p>
        </w:tc>
        <w:tc>
          <w:tcPr>
            <w:tcW w:w="44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黑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黑体" w:cs="宋体"/>
                <w:kern w:val="0"/>
                <w:sz w:val="24"/>
                <w:szCs w:val="24"/>
              </w:rPr>
              <w:t>抽查事项</w:t>
            </w:r>
          </w:p>
        </w:tc>
        <w:tc>
          <w:tcPr>
            <w:tcW w:w="38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黑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黑体" w:cs="宋体"/>
                <w:kern w:val="0"/>
                <w:sz w:val="24"/>
                <w:szCs w:val="24"/>
              </w:rPr>
              <w:t>检查对象</w:t>
            </w:r>
          </w:p>
        </w:tc>
        <w:tc>
          <w:tcPr>
            <w:tcW w:w="41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黑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黑体" w:cs="宋体"/>
                <w:kern w:val="0"/>
                <w:sz w:val="24"/>
                <w:szCs w:val="24"/>
              </w:rPr>
              <w:t>事项类别</w:t>
            </w:r>
          </w:p>
        </w:tc>
        <w:tc>
          <w:tcPr>
            <w:tcW w:w="46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黑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黑体" w:cs="宋体"/>
                <w:kern w:val="0"/>
                <w:sz w:val="24"/>
                <w:szCs w:val="24"/>
              </w:rPr>
              <w:t>检查方式</w:t>
            </w:r>
          </w:p>
        </w:tc>
        <w:tc>
          <w:tcPr>
            <w:tcW w:w="60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黑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黑体" w:cs="宋体"/>
                <w:kern w:val="0"/>
                <w:sz w:val="24"/>
                <w:szCs w:val="24"/>
              </w:rPr>
              <w:t>检查主体</w:t>
            </w:r>
          </w:p>
        </w:tc>
        <w:tc>
          <w:tcPr>
            <w:tcW w:w="145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黑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黑体" w:cs="宋体"/>
                <w:kern w:val="0"/>
                <w:sz w:val="24"/>
                <w:szCs w:val="24"/>
              </w:rPr>
              <w:t>检查依据</w:t>
            </w:r>
          </w:p>
        </w:tc>
        <w:tc>
          <w:tcPr>
            <w:tcW w:w="107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Times New Roman" w:hAnsi="Times New Roman" w:eastAsia="黑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eastAsia="黑体" w:cs="宋体"/>
                <w:kern w:val="0"/>
                <w:sz w:val="24"/>
                <w:szCs w:val="24"/>
                <w:lang w:eastAsia="zh-CN"/>
              </w:rPr>
              <w:t>检查时间</w:t>
            </w:r>
          </w:p>
        </w:tc>
      </w:tr>
      <w:tr>
        <w:tblPrEx>
          <w:tblCellMar>
            <w:top w:w="17" w:type="dxa"/>
            <w:left w:w="17" w:type="dxa"/>
            <w:bottom w:w="17" w:type="dxa"/>
            <w:right w:w="17" w:type="dxa"/>
          </w:tblCellMar>
        </w:tblPrEx>
        <w:trPr>
          <w:trHeight w:val="454" w:hRule="atLeast"/>
        </w:trPr>
        <w:tc>
          <w:tcPr>
            <w:tcW w:w="1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1</w:t>
            </w:r>
          </w:p>
        </w:tc>
        <w:tc>
          <w:tcPr>
            <w:tcW w:w="44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对宗教活动场所的行政检查</w:t>
            </w:r>
          </w:p>
        </w:tc>
        <w:tc>
          <w:tcPr>
            <w:tcW w:w="38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宗教活动场所</w:t>
            </w:r>
          </w:p>
        </w:tc>
        <w:tc>
          <w:tcPr>
            <w:tcW w:w="41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一般检查事项</w:t>
            </w:r>
          </w:p>
        </w:tc>
        <w:tc>
          <w:tcPr>
            <w:tcW w:w="46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现场检查</w:t>
            </w:r>
          </w:p>
        </w:tc>
        <w:tc>
          <w:tcPr>
            <w:tcW w:w="60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市民族宗教事务局</w:t>
            </w:r>
          </w:p>
        </w:tc>
        <w:tc>
          <w:tcPr>
            <w:tcW w:w="145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《宗教事务条例》（2004年11月30日国务院令第426号，2017年8月26日修订）第二十七条。</w:t>
            </w:r>
          </w:p>
        </w:tc>
        <w:tc>
          <w:tcPr>
            <w:tcW w:w="107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根据触发条件开展检查</w:t>
            </w:r>
          </w:p>
        </w:tc>
      </w:tr>
      <w:tr>
        <w:tblPrEx>
          <w:tblCellMar>
            <w:top w:w="17" w:type="dxa"/>
            <w:left w:w="17" w:type="dxa"/>
            <w:bottom w:w="17" w:type="dxa"/>
            <w:right w:w="17" w:type="dxa"/>
          </w:tblCellMar>
        </w:tblPrEx>
        <w:trPr>
          <w:trHeight w:val="454" w:hRule="atLeast"/>
        </w:trPr>
        <w:tc>
          <w:tcPr>
            <w:tcW w:w="1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2</w:t>
            </w:r>
          </w:p>
        </w:tc>
        <w:tc>
          <w:tcPr>
            <w:tcW w:w="44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对宗教教职人员的行政检查</w:t>
            </w:r>
          </w:p>
        </w:tc>
        <w:tc>
          <w:tcPr>
            <w:tcW w:w="38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宗教教职人员</w:t>
            </w:r>
          </w:p>
        </w:tc>
        <w:tc>
          <w:tcPr>
            <w:tcW w:w="41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一般检查事项</w:t>
            </w:r>
          </w:p>
        </w:tc>
        <w:tc>
          <w:tcPr>
            <w:tcW w:w="46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现场检查</w:t>
            </w:r>
          </w:p>
        </w:tc>
        <w:tc>
          <w:tcPr>
            <w:tcW w:w="60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市民族宗教事务局</w:t>
            </w:r>
          </w:p>
        </w:tc>
        <w:tc>
          <w:tcPr>
            <w:tcW w:w="145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《宗教事务条例》（2004年11月30日国务院令第426号，2017年8月26日修订）第三十六条、第三十七条。</w:t>
            </w:r>
          </w:p>
        </w:tc>
        <w:tc>
          <w:tcPr>
            <w:tcW w:w="107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根据触发条件开展检查</w:t>
            </w:r>
          </w:p>
        </w:tc>
      </w:tr>
      <w:tr>
        <w:tblPrEx>
          <w:tblCellMar>
            <w:top w:w="17" w:type="dxa"/>
            <w:left w:w="17" w:type="dxa"/>
            <w:bottom w:w="17" w:type="dxa"/>
            <w:right w:w="17" w:type="dxa"/>
          </w:tblCellMar>
        </w:tblPrEx>
        <w:trPr>
          <w:trHeight w:val="454" w:hRule="atLeast"/>
        </w:trPr>
        <w:tc>
          <w:tcPr>
            <w:tcW w:w="1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3</w:t>
            </w:r>
          </w:p>
        </w:tc>
        <w:tc>
          <w:tcPr>
            <w:tcW w:w="44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对宗教团体的行政检查</w:t>
            </w:r>
          </w:p>
        </w:tc>
        <w:tc>
          <w:tcPr>
            <w:tcW w:w="38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宗教团体</w:t>
            </w:r>
          </w:p>
        </w:tc>
        <w:tc>
          <w:tcPr>
            <w:tcW w:w="41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一般检查事项</w:t>
            </w:r>
          </w:p>
        </w:tc>
        <w:tc>
          <w:tcPr>
            <w:tcW w:w="46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现场检查</w:t>
            </w:r>
          </w:p>
        </w:tc>
        <w:tc>
          <w:tcPr>
            <w:tcW w:w="60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市民族宗教事务局</w:t>
            </w:r>
          </w:p>
        </w:tc>
        <w:tc>
          <w:tcPr>
            <w:tcW w:w="145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《社会团体登记管理条例》（1998年10月25日国务院令第250号，2016年2月6日予以修改）第二十五条。</w:t>
            </w:r>
          </w:p>
        </w:tc>
        <w:tc>
          <w:tcPr>
            <w:tcW w:w="107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根据触发条件开展检查</w:t>
            </w:r>
          </w:p>
        </w:tc>
      </w:tr>
      <w:tr>
        <w:tblPrEx>
          <w:tblCellMar>
            <w:top w:w="17" w:type="dxa"/>
            <w:left w:w="17" w:type="dxa"/>
            <w:bottom w:w="17" w:type="dxa"/>
            <w:right w:w="17" w:type="dxa"/>
          </w:tblCellMar>
        </w:tblPrEx>
        <w:trPr>
          <w:trHeight w:val="454" w:hRule="atLeast"/>
        </w:trPr>
        <w:tc>
          <w:tcPr>
            <w:tcW w:w="1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4</w:t>
            </w:r>
          </w:p>
        </w:tc>
        <w:tc>
          <w:tcPr>
            <w:tcW w:w="44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清真食品生产经营及市场监督检查</w:t>
            </w:r>
          </w:p>
        </w:tc>
        <w:tc>
          <w:tcPr>
            <w:tcW w:w="38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清真食品生产经营单位和个人</w:t>
            </w:r>
          </w:p>
        </w:tc>
        <w:tc>
          <w:tcPr>
            <w:tcW w:w="41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一般检查事项</w:t>
            </w:r>
          </w:p>
        </w:tc>
        <w:tc>
          <w:tcPr>
            <w:tcW w:w="46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现场检查、书面检查</w:t>
            </w:r>
          </w:p>
        </w:tc>
        <w:tc>
          <w:tcPr>
            <w:tcW w:w="60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市民族宗教事务局</w:t>
            </w:r>
          </w:p>
        </w:tc>
        <w:tc>
          <w:tcPr>
            <w:tcW w:w="145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《河南省清真食品管理办法》</w:t>
            </w:r>
          </w:p>
        </w:tc>
        <w:tc>
          <w:tcPr>
            <w:tcW w:w="107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根据触发条件开展检查</w:t>
            </w:r>
          </w:p>
        </w:tc>
      </w:tr>
    </w:tbl>
    <w:p>
      <w:pPr>
        <w:pStyle w:val="2"/>
        <w:spacing w:before="0" w:beforeLines="0"/>
        <w:rPr>
          <w:rFonts w:ascii="Times New Roman" w:hAnsi="Times New Roman"/>
        </w:rPr>
      </w:pPr>
    </w:p>
    <w:p>
      <w:pPr>
        <w:widowControl/>
        <w:jc w:val="left"/>
        <w:rPr>
          <w:rFonts w:ascii="Times New Roman" w:hAnsi="Times New Roman"/>
        </w:rPr>
      </w:pPr>
    </w:p>
    <w:sectPr>
      <w:type w:val="continuous"/>
      <w:pgSz w:w="16838" w:h="11906" w:orient="landscape"/>
      <w:pgMar w:top="1588" w:right="1701" w:bottom="1474" w:left="1701" w:header="851" w:footer="992" w:gutter="0"/>
      <w:cols w:space="425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Arial Unicode MS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E5YmIzOGZkNTNiZWJlODM2ZjVkZWRmNTY3YjJlMzUifQ=="/>
  </w:docVars>
  <w:rsids>
    <w:rsidRoot w:val="0099262C"/>
    <w:rsid w:val="00052AED"/>
    <w:rsid w:val="00076345"/>
    <w:rsid w:val="000D44FB"/>
    <w:rsid w:val="000E271F"/>
    <w:rsid w:val="00107E0D"/>
    <w:rsid w:val="00162D8A"/>
    <w:rsid w:val="00186EF1"/>
    <w:rsid w:val="00194183"/>
    <w:rsid w:val="00224518"/>
    <w:rsid w:val="00225BF0"/>
    <w:rsid w:val="00260927"/>
    <w:rsid w:val="00284980"/>
    <w:rsid w:val="00292C4A"/>
    <w:rsid w:val="002B60AA"/>
    <w:rsid w:val="00310D02"/>
    <w:rsid w:val="00322EF4"/>
    <w:rsid w:val="003446C8"/>
    <w:rsid w:val="00361553"/>
    <w:rsid w:val="00365E27"/>
    <w:rsid w:val="00371A86"/>
    <w:rsid w:val="003D1221"/>
    <w:rsid w:val="00415AAA"/>
    <w:rsid w:val="00421A0A"/>
    <w:rsid w:val="00440A7C"/>
    <w:rsid w:val="00472BC0"/>
    <w:rsid w:val="004C370F"/>
    <w:rsid w:val="005001C2"/>
    <w:rsid w:val="00505967"/>
    <w:rsid w:val="00506E29"/>
    <w:rsid w:val="0051320C"/>
    <w:rsid w:val="005267D0"/>
    <w:rsid w:val="005411B6"/>
    <w:rsid w:val="005419E6"/>
    <w:rsid w:val="00571A19"/>
    <w:rsid w:val="00583D33"/>
    <w:rsid w:val="00591E64"/>
    <w:rsid w:val="00624AE1"/>
    <w:rsid w:val="006673BC"/>
    <w:rsid w:val="00701B8D"/>
    <w:rsid w:val="00703DB1"/>
    <w:rsid w:val="007229F8"/>
    <w:rsid w:val="00796A32"/>
    <w:rsid w:val="007A143A"/>
    <w:rsid w:val="007E1E08"/>
    <w:rsid w:val="00840FC5"/>
    <w:rsid w:val="00881E6A"/>
    <w:rsid w:val="00890904"/>
    <w:rsid w:val="00893B6E"/>
    <w:rsid w:val="008F60AB"/>
    <w:rsid w:val="00947D8A"/>
    <w:rsid w:val="00987831"/>
    <w:rsid w:val="0099262C"/>
    <w:rsid w:val="00992A86"/>
    <w:rsid w:val="009B0ACF"/>
    <w:rsid w:val="00A94D0C"/>
    <w:rsid w:val="00AB1711"/>
    <w:rsid w:val="00AB3FEB"/>
    <w:rsid w:val="00AD0B0C"/>
    <w:rsid w:val="00B27FB7"/>
    <w:rsid w:val="00B70426"/>
    <w:rsid w:val="00B92EB5"/>
    <w:rsid w:val="00B95471"/>
    <w:rsid w:val="00BC11C4"/>
    <w:rsid w:val="00BD006C"/>
    <w:rsid w:val="00BD07E7"/>
    <w:rsid w:val="00C0039E"/>
    <w:rsid w:val="00C26D79"/>
    <w:rsid w:val="00C274A7"/>
    <w:rsid w:val="00C61407"/>
    <w:rsid w:val="00CA7170"/>
    <w:rsid w:val="00D15732"/>
    <w:rsid w:val="00D57BA7"/>
    <w:rsid w:val="00D95632"/>
    <w:rsid w:val="00DB1C6A"/>
    <w:rsid w:val="00DC64C7"/>
    <w:rsid w:val="00DE43E4"/>
    <w:rsid w:val="00DF6E53"/>
    <w:rsid w:val="00E3324D"/>
    <w:rsid w:val="00E9306A"/>
    <w:rsid w:val="00EC6EF9"/>
    <w:rsid w:val="00EE530E"/>
    <w:rsid w:val="00F13EFA"/>
    <w:rsid w:val="00F16978"/>
    <w:rsid w:val="00F6046E"/>
    <w:rsid w:val="00FC2B5C"/>
    <w:rsid w:val="00FC5CC8"/>
    <w:rsid w:val="00FE12BD"/>
    <w:rsid w:val="0B214405"/>
    <w:rsid w:val="1BCC4982"/>
    <w:rsid w:val="2B567744"/>
    <w:rsid w:val="2F915EF6"/>
    <w:rsid w:val="540C6A0B"/>
    <w:rsid w:val="55F03F1F"/>
    <w:rsid w:val="57B561A4"/>
    <w:rsid w:val="600345F3"/>
    <w:rsid w:val="663C7C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5"/>
    <w:qFormat/>
    <w:uiPriority w:val="9"/>
    <w:pPr>
      <w:widowControl/>
      <w:spacing w:before="156" w:beforeLines="50" w:after="156" w:afterLines="50" w:line="600" w:lineRule="exact"/>
      <w:jc w:val="center"/>
      <w:outlineLvl w:val="0"/>
    </w:pPr>
    <w:rPr>
      <w:rFonts w:ascii="方正小标宋简体" w:hAnsi="方正小标宋简体" w:eastAsia="方正小标宋简体" w:cs="宋体"/>
      <w:kern w:val="0"/>
      <w:sz w:val="44"/>
      <w:szCs w:val="44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">
    <w:name w:val="标题 1 Char"/>
    <w:basedOn w:val="4"/>
    <w:link w:val="2"/>
    <w:qFormat/>
    <w:uiPriority w:val="9"/>
    <w:rPr>
      <w:rFonts w:ascii="方正小标宋简体" w:hAnsi="方正小标宋简体" w:eastAsia="方正小标宋简体" w:cs="宋体"/>
      <w:sz w:val="44"/>
      <w:szCs w:val="4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7"/>
    <customShpInfo spid="_x0000_s1028"/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526</Words>
  <Characters>578</Characters>
  <Lines>9</Lines>
  <Paragraphs>2</Paragraphs>
  <TotalTime>1</TotalTime>
  <ScaleCrop>false</ScaleCrop>
  <LinksUpToDate>false</LinksUpToDate>
  <CharactersWithSpaces>582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2022-12-02T02:34:00Z</dcterms:created>
  <dc:creator>abc</dc:creator>
  <cp:lastModifiedBy>abc</cp:lastModifiedBy>
  <dcterms:modified xsi:type="dcterms:W3CDTF">2023-07-17T09:20:59Z</dcterms:modified>
  <cp:revision>88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F9BC496B561143378C360029DA61E236</vt:lpwstr>
  </property>
</Properties>
</file>