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p>
    <w:p>
      <w:pPr>
        <w:jc w:val="center"/>
        <w:rPr>
          <w:b/>
          <w:sz w:val="44"/>
          <w:szCs w:val="44"/>
        </w:rPr>
      </w:pPr>
      <w:r>
        <w:rPr>
          <w:b/>
          <w:sz w:val="44"/>
          <w:szCs w:val="44"/>
        </w:rPr>
        <w:pict>
          <v:group id="_x0000_s1026" o:spid="_x0000_s1026" o:spt="203" style="position:absolute;left:0pt;margin-left:2.7pt;margin-top:29.95pt;height:141.1pt;width:459pt;z-index:251659264;mso-width-relative:page;mso-height-relative:page;" coordorigin="1420,4736" coordsize="9180,2822">
            <o:lock v:ext="edit" aspectratio="f"/>
            <v:line id="_x0000_s1027" o:spid="_x0000_s1027" o:spt="20" style="position:absolute;left:1420;top:7550;flip:y;height:8;width:9180;" filled="f" stroked="t" coordsize="21600,21600">
              <v:path arrowok="t"/>
              <v:fill on="f" focussize="0,0"/>
              <v:stroke weight="2.25pt" color="#FF0000"/>
              <v:imagedata o:title=""/>
              <o:lock v:ext="edit" aspectratio="f"/>
            </v:line>
            <v:shape id="_x0000_s1028" o:spid="_x0000_s1028" o:spt="136" alt="洛阳市市场监督管理局文件" type="#_x0000_t136" style="position:absolute;left:1690;top:4736;height:1275;width:8655;" fillcolor="#FF0000" filled="t" stroked="t" coordsize="21600,21600" adj="10800">
              <v:path/>
              <v:fill on="t" color2="#FFFFFF" focussize="0,0"/>
              <v:stroke color="#FF0000"/>
              <v:imagedata o:title=""/>
              <o:lock v:ext="edit" aspectratio="f"/>
              <v:textpath on="t" fitshape="t" fitpath="t" trim="t" xscale="f" string="洛阳市林业局文件" style="font-family:方正小标宋简体;font-size:36pt;v-text-align:center;"/>
            </v:shape>
          </v:group>
        </w:pict>
      </w:r>
    </w:p>
    <w:p>
      <w:pPr>
        <w:jc w:val="center"/>
        <w:rPr>
          <w:b/>
          <w:sz w:val="44"/>
          <w:szCs w:val="44"/>
        </w:rPr>
      </w:pPr>
    </w:p>
    <w:p>
      <w:pPr>
        <w:jc w:val="center"/>
        <w:rPr>
          <w:b/>
          <w:sz w:val="44"/>
          <w:szCs w:val="44"/>
        </w:rPr>
      </w:pPr>
    </w:p>
    <w:p>
      <w:pPr>
        <w:jc w:val="center"/>
        <w:rPr>
          <w:b/>
          <w:sz w:val="44"/>
          <w:szCs w:val="44"/>
        </w:rPr>
      </w:pPr>
    </w:p>
    <w:p>
      <w:pPr>
        <w:spacing w:line="600" w:lineRule="exact"/>
        <w:jc w:val="center"/>
        <w:rPr>
          <w:rFonts w:ascii="仿宋_GB2312" w:eastAsia="仿宋_GB2312"/>
          <w:sz w:val="32"/>
          <w:szCs w:val="32"/>
        </w:rPr>
      </w:pPr>
      <w:r>
        <w:rPr>
          <w:rFonts w:hint="eastAsia" w:ascii="仿宋_GB2312" w:hAnsi="仿宋_GB2312" w:eastAsia="仿宋_GB2312" w:cs="仿宋_GB2312"/>
          <w:color w:val="000000"/>
          <w:sz w:val="32"/>
          <w:szCs w:val="32"/>
        </w:rPr>
        <w:t>洛</w:t>
      </w:r>
      <w:r>
        <w:rPr>
          <w:rFonts w:hint="eastAsia" w:ascii="仿宋_GB2312" w:hAnsi="仿宋_GB2312" w:eastAsia="仿宋_GB2312" w:cs="仿宋_GB2312"/>
          <w:color w:val="FF0000"/>
          <w:sz w:val="32"/>
          <w:szCs w:val="32"/>
        </w:rPr>
        <w:t>XX</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 xml:space="preserve">〕  号 </w:t>
      </w:r>
    </w:p>
    <w:p>
      <w:pPr>
        <w:jc w:val="center"/>
        <w:rPr>
          <w:b/>
          <w:sz w:val="44"/>
          <w:szCs w:val="44"/>
        </w:rPr>
      </w:pPr>
    </w:p>
    <w:p>
      <w:pPr>
        <w:jc w:val="center"/>
        <w:rPr>
          <w:b/>
          <w:sz w:val="44"/>
          <w:szCs w:val="44"/>
        </w:rPr>
      </w:pPr>
    </w:p>
    <w:p>
      <w:pPr>
        <w:jc w:val="center"/>
        <w:rPr>
          <w:b/>
          <w:sz w:val="44"/>
          <w:szCs w:val="44"/>
        </w:rPr>
      </w:pPr>
      <w:r>
        <w:rPr>
          <w:rFonts w:hint="eastAsia"/>
          <w:b/>
          <w:sz w:val="44"/>
          <w:szCs w:val="44"/>
        </w:rPr>
        <w:t>关于印发《202</w:t>
      </w:r>
      <w:r>
        <w:rPr>
          <w:rFonts w:hint="eastAsia"/>
          <w:b/>
          <w:sz w:val="44"/>
          <w:szCs w:val="44"/>
          <w:lang w:val="en-US" w:eastAsia="zh-CN"/>
        </w:rPr>
        <w:t>3</w:t>
      </w:r>
      <w:r>
        <w:rPr>
          <w:rFonts w:hint="eastAsia"/>
          <w:b/>
          <w:sz w:val="44"/>
          <w:szCs w:val="44"/>
        </w:rPr>
        <w:t>年触发式 “双随机、一公开”监管抽查计划》的通知</w:t>
      </w:r>
    </w:p>
    <w:p>
      <w:pPr>
        <w:rPr>
          <w:color w:val="FF0000"/>
          <w:sz w:val="32"/>
          <w:szCs w:val="32"/>
        </w:rPr>
      </w:pPr>
    </w:p>
    <w:p>
      <w:pPr>
        <w:rPr>
          <w:rFonts w:ascii="仿宋_GB2312" w:eastAsia="仿宋_GB2312"/>
          <w:sz w:val="32"/>
          <w:szCs w:val="32"/>
        </w:rPr>
      </w:pPr>
      <w:r>
        <w:rPr>
          <w:rFonts w:hint="eastAsia" w:ascii="仿宋_GB2312" w:eastAsia="仿宋_GB2312"/>
          <w:sz w:val="32"/>
          <w:szCs w:val="32"/>
        </w:rPr>
        <w:t>各有关单位：</w:t>
      </w:r>
    </w:p>
    <w:p>
      <w:pPr>
        <w:ind w:firstLine="640" w:firstLineChars="200"/>
        <w:jc w:val="left"/>
        <w:rPr>
          <w:rFonts w:ascii="仿宋_GB2312" w:eastAsia="仿宋_GB2312"/>
          <w:sz w:val="32"/>
          <w:szCs w:val="32"/>
        </w:rPr>
      </w:pPr>
      <w:r>
        <w:rPr>
          <w:rFonts w:hint="eastAsia" w:ascii="仿宋_GB2312" w:eastAsia="仿宋_GB2312"/>
          <w:sz w:val="32"/>
          <w:szCs w:val="32"/>
        </w:rPr>
        <w:t>现将洛阳市</w:t>
      </w:r>
      <w:r>
        <w:rPr>
          <w:rFonts w:hint="eastAsia" w:ascii="仿宋_GB2312" w:eastAsia="仿宋_GB2312"/>
          <w:sz w:val="32"/>
          <w:szCs w:val="32"/>
          <w:lang w:eastAsia="zh-CN"/>
        </w:rPr>
        <w:t>林业</w:t>
      </w:r>
      <w:r>
        <w:rPr>
          <w:rFonts w:hint="eastAsia" w:ascii="仿宋_GB2312" w:eastAsia="仿宋_GB2312"/>
          <w:sz w:val="32"/>
          <w:szCs w:val="32"/>
        </w:rPr>
        <w:t>局《202</w:t>
      </w:r>
      <w:r>
        <w:rPr>
          <w:rFonts w:hint="eastAsia" w:ascii="仿宋_GB2312" w:eastAsia="仿宋_GB2312"/>
          <w:sz w:val="32"/>
          <w:szCs w:val="32"/>
          <w:lang w:val="en-US" w:eastAsia="zh-CN"/>
        </w:rPr>
        <w:t>3</w:t>
      </w:r>
      <w:r>
        <w:rPr>
          <w:rFonts w:hint="eastAsia" w:ascii="仿宋_GB2312" w:eastAsia="仿宋_GB2312"/>
          <w:sz w:val="32"/>
          <w:szCs w:val="32"/>
        </w:rPr>
        <w:t>年触发式“双随机、一公开”监管抽查计划》印发给你们，请你们结合实际，认真做好“双随机、一公开”监管工作。</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附件：《</w:t>
      </w:r>
      <w:r>
        <w:rPr>
          <w:rFonts w:hint="eastAsia" w:ascii="仿宋_GB2312" w:eastAsia="仿宋_GB2312"/>
          <w:sz w:val="32"/>
          <w:szCs w:val="32"/>
          <w:lang w:val="en-US" w:eastAsia="zh-CN"/>
        </w:rPr>
        <w:t>2023年</w:t>
      </w:r>
      <w:r>
        <w:rPr>
          <w:rFonts w:hint="eastAsia" w:ascii="仿宋_GB2312" w:eastAsia="仿宋_GB2312"/>
          <w:sz w:val="32"/>
          <w:szCs w:val="32"/>
        </w:rPr>
        <w:t>触发式“双随机、一公开”监管抽查计划》</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5120" w:firstLineChars="16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 xml:space="preserve">  </w:t>
      </w:r>
      <w:r>
        <w:rPr>
          <w:rFonts w:hint="eastAsia" w:ascii="仿宋_GB2312" w:eastAsia="仿宋_GB2312"/>
          <w:sz w:val="32"/>
          <w:szCs w:val="32"/>
        </w:rPr>
        <w:t>日</w:t>
      </w:r>
    </w:p>
    <w:p>
      <w:pPr>
        <w:pStyle w:val="2"/>
        <w:spacing w:before="0" w:beforeLines="0"/>
        <w:rPr>
          <w:rFonts w:ascii="Times New Roman" w:hAnsi="Times New Roman"/>
        </w:rPr>
        <w:sectPr>
          <w:type w:val="continuous"/>
          <w:pgSz w:w="11906" w:h="16838"/>
          <w:pgMar w:top="1701" w:right="1474" w:bottom="1701" w:left="1588" w:header="851" w:footer="992" w:gutter="0"/>
          <w:cols w:space="425" w:num="1"/>
          <w:docGrid w:type="lines" w:linePitch="312" w:charSpace="0"/>
        </w:sectPr>
      </w:pPr>
      <w:bookmarkStart w:id="0" w:name="_Toc122976144"/>
    </w:p>
    <w:p>
      <w:pPr>
        <w:pStyle w:val="2"/>
      </w:pPr>
      <w:r>
        <w:rPr>
          <w:rFonts w:hint="eastAsia" w:ascii="Times New Roman" w:hAnsi="Times New Roman"/>
          <w:lang w:val="en-US" w:eastAsia="zh-CN"/>
        </w:rPr>
        <w:t>2023</w:t>
      </w:r>
      <w:bookmarkStart w:id="1" w:name="_GoBack"/>
      <w:bookmarkEnd w:id="1"/>
      <w:r>
        <w:rPr>
          <w:rFonts w:hint="eastAsia" w:ascii="Times New Roman" w:hAnsi="Times New Roman"/>
          <w:lang w:val="en-US" w:eastAsia="zh-CN"/>
        </w:rPr>
        <w:t>年</w:t>
      </w:r>
      <w:r>
        <w:rPr>
          <w:rFonts w:hint="eastAsia" w:ascii="Times New Roman" w:hAnsi="Times New Roman"/>
        </w:rPr>
        <w:t>触发式“双随机、一公开”监管抽查</w:t>
      </w:r>
      <w:bookmarkEnd w:id="0"/>
      <w:r>
        <w:rPr>
          <w:rFonts w:hint="eastAsia" w:ascii="Times New Roman" w:hAnsi="Times New Roman"/>
        </w:rPr>
        <w:t>计划</w:t>
      </w:r>
    </w:p>
    <w:tbl>
      <w:tblPr>
        <w:tblStyle w:val="3"/>
        <w:tblW w:w="5008" w:type="pct"/>
        <w:tblInd w:w="0" w:type="dxa"/>
        <w:tblLayout w:type="fixed"/>
        <w:tblCellMar>
          <w:top w:w="17" w:type="dxa"/>
          <w:left w:w="17" w:type="dxa"/>
          <w:bottom w:w="17" w:type="dxa"/>
          <w:right w:w="17" w:type="dxa"/>
        </w:tblCellMar>
      </w:tblPr>
      <w:tblGrid>
        <w:gridCol w:w="368"/>
        <w:gridCol w:w="1440"/>
        <w:gridCol w:w="1830"/>
        <w:gridCol w:w="1485"/>
        <w:gridCol w:w="1230"/>
        <w:gridCol w:w="1350"/>
        <w:gridCol w:w="1275"/>
        <w:gridCol w:w="2160"/>
        <w:gridCol w:w="2355"/>
      </w:tblGrid>
      <w:tr>
        <w:tblPrEx>
          <w:tblCellMar>
            <w:top w:w="17" w:type="dxa"/>
            <w:left w:w="17" w:type="dxa"/>
            <w:bottom w:w="17" w:type="dxa"/>
            <w:right w:w="17" w:type="dxa"/>
          </w:tblCellMar>
        </w:tblPrEx>
        <w:trPr>
          <w:trHeight w:val="454" w:hRule="atLeast"/>
          <w:tblHeader/>
        </w:trPr>
        <w:tc>
          <w:tcPr>
            <w:tcW w:w="1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序号</w:t>
            </w:r>
          </w:p>
        </w:tc>
        <w:tc>
          <w:tcPr>
            <w:tcW w:w="5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p>
        </w:tc>
        <w:tc>
          <w:tcPr>
            <w:tcW w:w="67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抽查事项</w:t>
            </w:r>
          </w:p>
        </w:tc>
        <w:tc>
          <w:tcPr>
            <w:tcW w:w="55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检查对象</w:t>
            </w: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事项类别</w:t>
            </w:r>
          </w:p>
        </w:tc>
        <w:tc>
          <w:tcPr>
            <w:tcW w:w="50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检查方式</w:t>
            </w:r>
          </w:p>
        </w:tc>
        <w:tc>
          <w:tcPr>
            <w:tcW w:w="4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检查主体</w:t>
            </w:r>
          </w:p>
        </w:tc>
        <w:tc>
          <w:tcPr>
            <w:tcW w:w="80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检查依据</w:t>
            </w:r>
          </w:p>
        </w:tc>
        <w:tc>
          <w:tcPr>
            <w:tcW w:w="8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黑体" w:cs="宋体"/>
                <w:kern w:val="0"/>
                <w:sz w:val="24"/>
                <w:szCs w:val="24"/>
                <w:lang w:eastAsia="zh-CN"/>
              </w:rPr>
            </w:pPr>
            <w:r>
              <w:rPr>
                <w:rFonts w:hint="eastAsia" w:ascii="Times New Roman" w:hAnsi="Times New Roman" w:eastAsia="黑体" w:cs="宋体"/>
                <w:kern w:val="0"/>
                <w:sz w:val="24"/>
                <w:szCs w:val="24"/>
                <w:lang w:eastAsia="zh-CN"/>
              </w:rPr>
              <w:t>检查时间</w:t>
            </w:r>
          </w:p>
        </w:tc>
      </w:tr>
      <w:tr>
        <w:tblPrEx>
          <w:tblCellMar>
            <w:top w:w="17" w:type="dxa"/>
            <w:left w:w="17" w:type="dxa"/>
            <w:bottom w:w="17" w:type="dxa"/>
            <w:right w:w="17" w:type="dxa"/>
          </w:tblCellMar>
        </w:tblPrEx>
        <w:trPr>
          <w:trHeight w:val="454" w:hRule="atLeast"/>
        </w:trPr>
        <w:tc>
          <w:tcPr>
            <w:tcW w:w="1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w:t>
            </w:r>
          </w:p>
        </w:tc>
        <w:tc>
          <w:tcPr>
            <w:tcW w:w="53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国家重点保护野生植物监督检查</w:t>
            </w:r>
          </w:p>
        </w:tc>
        <w:tc>
          <w:tcPr>
            <w:tcW w:w="6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对国家二级保护野生植物经营利用活动监督检查</w:t>
            </w:r>
          </w:p>
        </w:tc>
        <w:tc>
          <w:tcPr>
            <w:tcW w:w="5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 xml:space="preserve"> </w:t>
            </w:r>
          </w:p>
        </w:tc>
        <w:tc>
          <w:tcPr>
            <w:tcW w:w="45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5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现场检查、书面检查、网络检查等</w:t>
            </w:r>
          </w:p>
        </w:tc>
        <w:tc>
          <w:tcPr>
            <w:tcW w:w="4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县级以上林业主管部门</w:t>
            </w:r>
          </w:p>
        </w:tc>
        <w:tc>
          <w:tcPr>
            <w:tcW w:w="8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《中华人民共和国野生植物保护条例》第十九条</w:t>
            </w:r>
          </w:p>
        </w:tc>
        <w:tc>
          <w:tcPr>
            <w:tcW w:w="8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w:t>
            </w:r>
          </w:p>
        </w:tc>
        <w:tc>
          <w:tcPr>
            <w:tcW w:w="53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陆生野生动物保护监督检查</w:t>
            </w:r>
          </w:p>
        </w:tc>
        <w:tc>
          <w:tcPr>
            <w:tcW w:w="6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对科学研究、人工繁育、公众展示展演等利用陆生野生动物及其制品的活动进行监督管理</w:t>
            </w:r>
          </w:p>
        </w:tc>
        <w:tc>
          <w:tcPr>
            <w:tcW w:w="5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因科学研究等原因利用陆生野生动物及其制品的企业、个体工商户</w:t>
            </w:r>
          </w:p>
        </w:tc>
        <w:tc>
          <w:tcPr>
            <w:tcW w:w="45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5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现场检查、网络检查</w:t>
            </w:r>
          </w:p>
        </w:tc>
        <w:tc>
          <w:tcPr>
            <w:tcW w:w="4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县级以上林业主管部门</w:t>
            </w:r>
          </w:p>
        </w:tc>
        <w:tc>
          <w:tcPr>
            <w:tcW w:w="8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《中华人民共和国野生动物保护法》第三十四条</w:t>
            </w:r>
          </w:p>
        </w:tc>
        <w:tc>
          <w:tcPr>
            <w:tcW w:w="8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3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6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对经营利用陆生野生动物或其产品监督检查</w:t>
            </w:r>
          </w:p>
        </w:tc>
        <w:tc>
          <w:tcPr>
            <w:tcW w:w="5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经营利用陆生野生动物的企业、个体工行户</w:t>
            </w:r>
          </w:p>
        </w:tc>
        <w:tc>
          <w:tcPr>
            <w:tcW w:w="45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5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现场检查、书面检查、网络检查</w:t>
            </w:r>
          </w:p>
        </w:tc>
        <w:tc>
          <w:tcPr>
            <w:tcW w:w="4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县级以上林业主管部门</w:t>
            </w:r>
          </w:p>
        </w:tc>
        <w:tc>
          <w:tcPr>
            <w:tcW w:w="8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《中华人民共和国陆生野生动物保护实施条例》第二十七条</w:t>
            </w:r>
          </w:p>
        </w:tc>
        <w:tc>
          <w:tcPr>
            <w:tcW w:w="8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3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6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对陆生野生动物及其产品进行查验</w:t>
            </w:r>
          </w:p>
        </w:tc>
        <w:tc>
          <w:tcPr>
            <w:tcW w:w="5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运输、携带、销售陆生野生动物及其产品的企业、个体工商户和个人</w:t>
            </w:r>
          </w:p>
        </w:tc>
        <w:tc>
          <w:tcPr>
            <w:tcW w:w="45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5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县级以上林业主管部门</w:t>
            </w:r>
          </w:p>
        </w:tc>
        <w:tc>
          <w:tcPr>
            <w:tcW w:w="8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　</w:t>
            </w:r>
          </w:p>
        </w:tc>
        <w:tc>
          <w:tcPr>
            <w:tcW w:w="8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241" w:hRule="atLeast"/>
        </w:trPr>
        <w:tc>
          <w:tcPr>
            <w:tcW w:w="1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3</w:t>
            </w:r>
          </w:p>
        </w:tc>
        <w:tc>
          <w:tcPr>
            <w:tcW w:w="53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人工繁育市重点保护野生动物许可</w:t>
            </w:r>
          </w:p>
        </w:tc>
        <w:tc>
          <w:tcPr>
            <w:tcW w:w="6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是否按照人工繁育市重点保护野生动物许可事项进行经营活动的检查</w:t>
            </w:r>
          </w:p>
        </w:tc>
        <w:tc>
          <w:tcPr>
            <w:tcW w:w="5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许可单位或者个人</w:t>
            </w:r>
          </w:p>
        </w:tc>
        <w:tc>
          <w:tcPr>
            <w:tcW w:w="45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5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书面检查现场检查</w:t>
            </w:r>
          </w:p>
        </w:tc>
        <w:tc>
          <w:tcPr>
            <w:tcW w:w="4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县级以上林业主管部门</w:t>
            </w:r>
          </w:p>
        </w:tc>
        <w:tc>
          <w:tcPr>
            <w:tcW w:w="8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《中华人民共和国野生动物保护法》</w:t>
            </w:r>
          </w:p>
        </w:tc>
        <w:tc>
          <w:tcPr>
            <w:tcW w:w="8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4</w:t>
            </w:r>
          </w:p>
        </w:tc>
        <w:tc>
          <w:tcPr>
            <w:tcW w:w="53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出售、购买、利用国家重点保护野生动物及其制品行政许可</w:t>
            </w:r>
          </w:p>
        </w:tc>
        <w:tc>
          <w:tcPr>
            <w:tcW w:w="6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是否按照出售、购买、利用国家重点保护野生动物及其制品行政许可事项进行经营活动的检查</w:t>
            </w:r>
          </w:p>
        </w:tc>
        <w:tc>
          <w:tcPr>
            <w:tcW w:w="5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许可单位或者个人</w:t>
            </w:r>
          </w:p>
        </w:tc>
        <w:tc>
          <w:tcPr>
            <w:tcW w:w="45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5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书面检查现场检查</w:t>
            </w:r>
          </w:p>
        </w:tc>
        <w:tc>
          <w:tcPr>
            <w:tcW w:w="4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县级以上林业主管部门</w:t>
            </w:r>
          </w:p>
        </w:tc>
        <w:tc>
          <w:tcPr>
            <w:tcW w:w="8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《中华人民共和国野生动物保护法》</w:t>
            </w:r>
          </w:p>
        </w:tc>
        <w:tc>
          <w:tcPr>
            <w:tcW w:w="8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5</w:t>
            </w:r>
          </w:p>
        </w:tc>
        <w:tc>
          <w:tcPr>
            <w:tcW w:w="53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建设项目使用林地许可</w:t>
            </w:r>
          </w:p>
        </w:tc>
        <w:tc>
          <w:tcPr>
            <w:tcW w:w="6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是否按照建设项目使用林地许可内容进行检查</w:t>
            </w:r>
          </w:p>
        </w:tc>
        <w:tc>
          <w:tcPr>
            <w:tcW w:w="5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用地单位或者个人</w:t>
            </w:r>
          </w:p>
        </w:tc>
        <w:tc>
          <w:tcPr>
            <w:tcW w:w="45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5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书面检查现场检查</w:t>
            </w:r>
          </w:p>
        </w:tc>
        <w:tc>
          <w:tcPr>
            <w:tcW w:w="4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县级以上林业主管部门</w:t>
            </w:r>
          </w:p>
        </w:tc>
        <w:tc>
          <w:tcPr>
            <w:tcW w:w="8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《森林法》、《森林法实施条例》、《建设项目使用林地审核审批管理办法》</w:t>
            </w:r>
          </w:p>
        </w:tc>
        <w:tc>
          <w:tcPr>
            <w:tcW w:w="8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6</w:t>
            </w:r>
          </w:p>
        </w:tc>
        <w:tc>
          <w:tcPr>
            <w:tcW w:w="53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应施检疫林业植物及其产品的行政检查</w:t>
            </w:r>
          </w:p>
        </w:tc>
        <w:tc>
          <w:tcPr>
            <w:tcW w:w="6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对应施检疫林业植物及其产品的行政检查</w:t>
            </w:r>
          </w:p>
        </w:tc>
        <w:tc>
          <w:tcPr>
            <w:tcW w:w="5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生产、经营和使用疫木的企业、个体工商户和其他社会组织</w:t>
            </w:r>
          </w:p>
        </w:tc>
        <w:tc>
          <w:tcPr>
            <w:tcW w:w="45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5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县级以上林业主管部门</w:t>
            </w:r>
          </w:p>
        </w:tc>
        <w:tc>
          <w:tcPr>
            <w:tcW w:w="8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《植物检疫条例》第二条；《国家林业和草原局关于印发重新修订的&lt;松材线虫病疫区和疫木管理办法&gt;的通知》（林生发〔2018〕117号）第十八条</w:t>
            </w:r>
          </w:p>
        </w:tc>
        <w:tc>
          <w:tcPr>
            <w:tcW w:w="8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7</w:t>
            </w:r>
          </w:p>
        </w:tc>
        <w:tc>
          <w:tcPr>
            <w:tcW w:w="53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森林植物及其产品检疫检查</w:t>
            </w:r>
          </w:p>
        </w:tc>
        <w:tc>
          <w:tcPr>
            <w:tcW w:w="6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森林植物及其产品检疫检查</w:t>
            </w:r>
          </w:p>
        </w:tc>
        <w:tc>
          <w:tcPr>
            <w:tcW w:w="5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森林植物及其产品运输、经营、加工和使用等相关单位和个人</w:t>
            </w:r>
          </w:p>
        </w:tc>
        <w:tc>
          <w:tcPr>
            <w:tcW w:w="45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5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现场检查、委托专业机构检查等</w:t>
            </w:r>
          </w:p>
        </w:tc>
        <w:tc>
          <w:tcPr>
            <w:tcW w:w="4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县级以上林业主管部门</w:t>
            </w:r>
          </w:p>
        </w:tc>
        <w:tc>
          <w:tcPr>
            <w:tcW w:w="8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《植物检疫条例》第三条第一款；《植物检疫条例》第五条第三款；《国家林业和草原局关于印发重新修订的&lt;松材线虫病疫区和疫木管理办法&gt;的通知》（林生发〔2018〕117号）第十八条</w:t>
            </w:r>
          </w:p>
        </w:tc>
        <w:tc>
          <w:tcPr>
            <w:tcW w:w="8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53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6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省际间调运森林植物及其产品检疫证书查验与复检</w:t>
            </w:r>
          </w:p>
        </w:tc>
        <w:tc>
          <w:tcPr>
            <w:tcW w:w="5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调运森林植物及其产品的企业、其他社会组织和个人</w:t>
            </w:r>
          </w:p>
        </w:tc>
        <w:tc>
          <w:tcPr>
            <w:tcW w:w="45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5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现场检查、委托专业机构检查等</w:t>
            </w:r>
          </w:p>
        </w:tc>
        <w:tc>
          <w:tcPr>
            <w:tcW w:w="4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县级以上林业主管部门</w:t>
            </w:r>
          </w:p>
        </w:tc>
        <w:tc>
          <w:tcPr>
            <w:tcW w:w="8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《植物检疫条例》第十条；《植物检疫条例实施细则（林业部分）》第十五条</w:t>
            </w:r>
          </w:p>
        </w:tc>
        <w:tc>
          <w:tcPr>
            <w:tcW w:w="8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8</w:t>
            </w:r>
          </w:p>
        </w:tc>
        <w:tc>
          <w:tcPr>
            <w:tcW w:w="53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木材经营加工检查</w:t>
            </w:r>
          </w:p>
        </w:tc>
        <w:tc>
          <w:tcPr>
            <w:tcW w:w="6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木材来源是否合法。</w:t>
            </w:r>
          </w:p>
        </w:tc>
        <w:tc>
          <w:tcPr>
            <w:tcW w:w="5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从事经营（加工）木材的主体</w:t>
            </w:r>
          </w:p>
        </w:tc>
        <w:tc>
          <w:tcPr>
            <w:tcW w:w="45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5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现场检查、委托专业机构检查等</w:t>
            </w:r>
          </w:p>
        </w:tc>
        <w:tc>
          <w:tcPr>
            <w:tcW w:w="4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县级以上林业主管部门</w:t>
            </w:r>
          </w:p>
        </w:tc>
        <w:tc>
          <w:tcPr>
            <w:tcW w:w="8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lang w:eastAsia="zh-CN"/>
              </w:rPr>
            </w:pPr>
          </w:p>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《国家林业和草原局公告》（2017年第19号）附件3第二项</w:t>
            </w:r>
          </w:p>
        </w:tc>
        <w:tc>
          <w:tcPr>
            <w:tcW w:w="8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852" w:hRule="atLeast"/>
        </w:trPr>
        <w:tc>
          <w:tcPr>
            <w:tcW w:w="1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9</w:t>
            </w:r>
          </w:p>
        </w:tc>
        <w:tc>
          <w:tcPr>
            <w:tcW w:w="53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林木种子质量检查</w:t>
            </w:r>
          </w:p>
        </w:tc>
        <w:tc>
          <w:tcPr>
            <w:tcW w:w="6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林木种子质量检查</w:t>
            </w:r>
          </w:p>
        </w:tc>
        <w:tc>
          <w:tcPr>
            <w:tcW w:w="5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生产、经营和使用林木种苗的企业、个体工商户和其他社会组织</w:t>
            </w:r>
          </w:p>
        </w:tc>
        <w:tc>
          <w:tcPr>
            <w:tcW w:w="45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5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现场检查、委托专业机构检查等</w:t>
            </w:r>
          </w:p>
        </w:tc>
        <w:tc>
          <w:tcPr>
            <w:tcW w:w="4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县级以上林业主管部门</w:t>
            </w:r>
          </w:p>
        </w:tc>
        <w:tc>
          <w:tcPr>
            <w:tcW w:w="8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《中华人民共和国种子法》第四十七条第一款，第四十八条第一款</w:t>
            </w:r>
          </w:p>
        </w:tc>
        <w:tc>
          <w:tcPr>
            <w:tcW w:w="8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10</w:t>
            </w:r>
          </w:p>
        </w:tc>
        <w:tc>
          <w:tcPr>
            <w:tcW w:w="53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造林检查</w:t>
            </w:r>
          </w:p>
        </w:tc>
        <w:tc>
          <w:tcPr>
            <w:tcW w:w="6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造林检查验收</w:t>
            </w:r>
          </w:p>
        </w:tc>
        <w:tc>
          <w:tcPr>
            <w:tcW w:w="5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采伐林木或其他具有造林职责的单位和个人</w:t>
            </w:r>
          </w:p>
        </w:tc>
        <w:tc>
          <w:tcPr>
            <w:tcW w:w="45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5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现场检查、网络检查、委托专业机构检查等</w:t>
            </w:r>
          </w:p>
        </w:tc>
        <w:tc>
          <w:tcPr>
            <w:tcW w:w="4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县级以上林业主管部门</w:t>
            </w:r>
          </w:p>
        </w:tc>
        <w:tc>
          <w:tcPr>
            <w:tcW w:w="8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《中华人民共和国森林法实施条例》第二十五条第二款</w:t>
            </w:r>
          </w:p>
        </w:tc>
        <w:tc>
          <w:tcPr>
            <w:tcW w:w="8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11</w:t>
            </w:r>
          </w:p>
        </w:tc>
        <w:tc>
          <w:tcPr>
            <w:tcW w:w="53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占用林地执法检查</w:t>
            </w:r>
          </w:p>
        </w:tc>
        <w:tc>
          <w:tcPr>
            <w:tcW w:w="6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林地管理；建设项目使用林地检查</w:t>
            </w:r>
          </w:p>
        </w:tc>
        <w:tc>
          <w:tcPr>
            <w:tcW w:w="550"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用地单位或者个人</w:t>
            </w:r>
          </w:p>
        </w:tc>
        <w:tc>
          <w:tcPr>
            <w:tcW w:w="45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5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查阅资料与现场检查相结合</w:t>
            </w:r>
          </w:p>
        </w:tc>
        <w:tc>
          <w:tcPr>
            <w:tcW w:w="4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县级以上林业主管部门</w:t>
            </w:r>
          </w:p>
        </w:tc>
        <w:tc>
          <w:tcPr>
            <w:tcW w:w="8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《建设项目使用林地审核审批管理规范》。</w:t>
            </w:r>
          </w:p>
        </w:tc>
        <w:tc>
          <w:tcPr>
            <w:tcW w:w="8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12</w:t>
            </w:r>
          </w:p>
        </w:tc>
        <w:tc>
          <w:tcPr>
            <w:tcW w:w="53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林木采伐运输执法检查</w:t>
            </w:r>
          </w:p>
        </w:tc>
        <w:tc>
          <w:tcPr>
            <w:tcW w:w="6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林木采伐管理；违法违规采伐；木材运输监管。</w:t>
            </w:r>
          </w:p>
        </w:tc>
        <w:tc>
          <w:tcPr>
            <w:tcW w:w="550"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　</w:t>
            </w:r>
          </w:p>
        </w:tc>
        <w:tc>
          <w:tcPr>
            <w:tcW w:w="45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500"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　</w:t>
            </w:r>
          </w:p>
        </w:tc>
        <w:tc>
          <w:tcPr>
            <w:tcW w:w="4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县级以上林业主管部门</w:t>
            </w:r>
          </w:p>
        </w:tc>
        <w:tc>
          <w:tcPr>
            <w:tcW w:w="8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《中华人民共和国森林法》第四十一、四十六条</w:t>
            </w:r>
          </w:p>
        </w:tc>
        <w:tc>
          <w:tcPr>
            <w:tcW w:w="8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13</w:t>
            </w:r>
          </w:p>
        </w:tc>
        <w:tc>
          <w:tcPr>
            <w:tcW w:w="53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林木采伐许可监督检查</w:t>
            </w:r>
          </w:p>
        </w:tc>
        <w:tc>
          <w:tcPr>
            <w:tcW w:w="6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林木采伐许可监督检查</w:t>
            </w:r>
          </w:p>
        </w:tc>
        <w:tc>
          <w:tcPr>
            <w:tcW w:w="5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获得采伐许可证的企业、个体工商户、其他社会组织和个人</w:t>
            </w:r>
          </w:p>
        </w:tc>
        <w:tc>
          <w:tcPr>
            <w:tcW w:w="45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5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现场检查、委托专业机构检查等</w:t>
            </w:r>
          </w:p>
        </w:tc>
        <w:tc>
          <w:tcPr>
            <w:tcW w:w="4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县级以上林业主管部门</w:t>
            </w:r>
          </w:p>
        </w:tc>
        <w:tc>
          <w:tcPr>
            <w:tcW w:w="8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《行政许可法》第六十一条 ；《中华人民共和国森林法》第三十五条</w:t>
            </w:r>
          </w:p>
        </w:tc>
        <w:tc>
          <w:tcPr>
            <w:tcW w:w="8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14</w:t>
            </w:r>
          </w:p>
        </w:tc>
        <w:tc>
          <w:tcPr>
            <w:tcW w:w="53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森林防火检查</w:t>
            </w:r>
          </w:p>
        </w:tc>
        <w:tc>
          <w:tcPr>
            <w:tcW w:w="678" w:type="pct"/>
            <w:tcBorders>
              <w:top w:val="single" w:color="auto" w:sz="4" w:space="0"/>
              <w:left w:val="nil"/>
              <w:bottom w:val="single" w:color="auto" w:sz="4" w:space="0"/>
              <w:right w:val="single" w:color="auto" w:sz="4" w:space="0"/>
            </w:tcBorders>
            <w:shd w:val="clear" w:color="auto" w:fill="auto"/>
            <w:vAlign w:val="bottom"/>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森林防火紧要期内，对森林防火县级以上有关单位的森林防火组织建设、森林防护责任制落实、森林防火设施建设等情况进行检查。</w:t>
            </w:r>
          </w:p>
        </w:tc>
        <w:tc>
          <w:tcPr>
            <w:tcW w:w="5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森林防火县级以上有关单位</w:t>
            </w:r>
          </w:p>
        </w:tc>
        <w:tc>
          <w:tcPr>
            <w:tcW w:w="45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5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县级以上林业主管部门</w:t>
            </w:r>
          </w:p>
        </w:tc>
        <w:tc>
          <w:tcPr>
            <w:tcW w:w="8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《森林防火条例》、《河南省森林防火条例》</w:t>
            </w:r>
          </w:p>
        </w:tc>
        <w:tc>
          <w:tcPr>
            <w:tcW w:w="872"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15</w:t>
            </w:r>
          </w:p>
        </w:tc>
        <w:tc>
          <w:tcPr>
            <w:tcW w:w="53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对草原上开展经营性旅游活动的检查</w:t>
            </w:r>
          </w:p>
        </w:tc>
        <w:tc>
          <w:tcPr>
            <w:tcW w:w="67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对草原上开展经营性旅游活动的检查</w:t>
            </w:r>
          </w:p>
        </w:tc>
        <w:tc>
          <w:tcPr>
            <w:tcW w:w="5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承包经营草原的单位和个人</w:t>
            </w:r>
          </w:p>
        </w:tc>
        <w:tc>
          <w:tcPr>
            <w:tcW w:w="45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5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7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县级以上林业主管部门</w:t>
            </w:r>
          </w:p>
        </w:tc>
        <w:tc>
          <w:tcPr>
            <w:tcW w:w="800"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《中华人民共和国草原法》、《国务院关于深化“证照分离”改革进一步激发市场主体发展活力的通知》（国发〔2021〕7号）</w:t>
            </w:r>
          </w:p>
        </w:tc>
        <w:tc>
          <w:tcPr>
            <w:tcW w:w="872" w:type="pct"/>
            <w:tcBorders>
              <w:top w:val="single" w:color="auto" w:sz="4" w:space="0"/>
              <w:left w:val="nil"/>
              <w:bottom w:val="single" w:color="auto" w:sz="4" w:space="0"/>
              <w:right w:val="single" w:color="auto" w:sz="4" w:space="0"/>
            </w:tcBorders>
            <w:shd w:val="clear" w:color="auto" w:fill="auto"/>
            <w:noWrap/>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bl>
    <w:p>
      <w:pPr>
        <w:rPr>
          <w:rFonts w:ascii="Times New Roman" w:hAnsi="Times New Roman"/>
        </w:rPr>
      </w:pPr>
    </w:p>
    <w:p>
      <w:pPr>
        <w:pStyle w:val="2"/>
        <w:spacing w:before="0" w:beforeLines="0"/>
        <w:rPr>
          <w:rFonts w:ascii="Times New Roman" w:hAnsi="Times New Roman"/>
        </w:rPr>
      </w:pPr>
    </w:p>
    <w:p>
      <w:pPr>
        <w:widowControl/>
        <w:jc w:val="left"/>
        <w:rPr>
          <w:rFonts w:ascii="Times New Roman" w:hAnsi="Times New Roman"/>
        </w:rPr>
      </w:pPr>
    </w:p>
    <w:sectPr>
      <w:type w:val="continuous"/>
      <w:pgSz w:w="16838" w:h="11906" w:orient="landscape"/>
      <w:pgMar w:top="1588" w:right="1701" w:bottom="1474" w:left="1701"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5YmIzOGZkNTNiZWJlODM2ZjVkZWRmNTY3YjJlMzUifQ=="/>
  </w:docVars>
  <w:rsids>
    <w:rsidRoot w:val="0099262C"/>
    <w:rsid w:val="00052AED"/>
    <w:rsid w:val="00076345"/>
    <w:rsid w:val="000D44FB"/>
    <w:rsid w:val="000E271F"/>
    <w:rsid w:val="00107E0D"/>
    <w:rsid w:val="00162D8A"/>
    <w:rsid w:val="00186EF1"/>
    <w:rsid w:val="00194183"/>
    <w:rsid w:val="00224518"/>
    <w:rsid w:val="00225BF0"/>
    <w:rsid w:val="00260927"/>
    <w:rsid w:val="00284980"/>
    <w:rsid w:val="00292C4A"/>
    <w:rsid w:val="002B60AA"/>
    <w:rsid w:val="00310D02"/>
    <w:rsid w:val="00322EF4"/>
    <w:rsid w:val="003446C8"/>
    <w:rsid w:val="00361553"/>
    <w:rsid w:val="00365E27"/>
    <w:rsid w:val="00371A86"/>
    <w:rsid w:val="003D1221"/>
    <w:rsid w:val="00415AAA"/>
    <w:rsid w:val="00421A0A"/>
    <w:rsid w:val="00440A7C"/>
    <w:rsid w:val="00472BC0"/>
    <w:rsid w:val="004C370F"/>
    <w:rsid w:val="005001C2"/>
    <w:rsid w:val="00505967"/>
    <w:rsid w:val="00506E29"/>
    <w:rsid w:val="0051320C"/>
    <w:rsid w:val="005267D0"/>
    <w:rsid w:val="005411B6"/>
    <w:rsid w:val="005419E6"/>
    <w:rsid w:val="00571A19"/>
    <w:rsid w:val="00583D33"/>
    <w:rsid w:val="00591E64"/>
    <w:rsid w:val="00624AE1"/>
    <w:rsid w:val="006673BC"/>
    <w:rsid w:val="00701B8D"/>
    <w:rsid w:val="00703DB1"/>
    <w:rsid w:val="007229F8"/>
    <w:rsid w:val="00796A32"/>
    <w:rsid w:val="007A143A"/>
    <w:rsid w:val="007E1E08"/>
    <w:rsid w:val="00840FC5"/>
    <w:rsid w:val="00881E6A"/>
    <w:rsid w:val="00890904"/>
    <w:rsid w:val="00893B6E"/>
    <w:rsid w:val="008F60AB"/>
    <w:rsid w:val="00947D8A"/>
    <w:rsid w:val="00987831"/>
    <w:rsid w:val="0099262C"/>
    <w:rsid w:val="00992A86"/>
    <w:rsid w:val="009B0ACF"/>
    <w:rsid w:val="00A94D0C"/>
    <w:rsid w:val="00AB1711"/>
    <w:rsid w:val="00AB3FEB"/>
    <w:rsid w:val="00AD0B0C"/>
    <w:rsid w:val="00B27FB7"/>
    <w:rsid w:val="00B70426"/>
    <w:rsid w:val="00B92EB5"/>
    <w:rsid w:val="00B95471"/>
    <w:rsid w:val="00BC11C4"/>
    <w:rsid w:val="00BD006C"/>
    <w:rsid w:val="00BD07E7"/>
    <w:rsid w:val="00C0039E"/>
    <w:rsid w:val="00C26D79"/>
    <w:rsid w:val="00C274A7"/>
    <w:rsid w:val="00C61407"/>
    <w:rsid w:val="00CA7170"/>
    <w:rsid w:val="00D15732"/>
    <w:rsid w:val="00D57BA7"/>
    <w:rsid w:val="00D95632"/>
    <w:rsid w:val="00DB1C6A"/>
    <w:rsid w:val="00DC64C7"/>
    <w:rsid w:val="00DE43E4"/>
    <w:rsid w:val="00DF6E53"/>
    <w:rsid w:val="00E3324D"/>
    <w:rsid w:val="00E9306A"/>
    <w:rsid w:val="00EC6EF9"/>
    <w:rsid w:val="00EE530E"/>
    <w:rsid w:val="00F13EFA"/>
    <w:rsid w:val="00F16978"/>
    <w:rsid w:val="00F6046E"/>
    <w:rsid w:val="00FC2B5C"/>
    <w:rsid w:val="00FC5CC8"/>
    <w:rsid w:val="00FE12BD"/>
    <w:rsid w:val="0B214405"/>
    <w:rsid w:val="1BCC4982"/>
    <w:rsid w:val="2B567744"/>
    <w:rsid w:val="2BC345C4"/>
    <w:rsid w:val="55F03F1F"/>
    <w:rsid w:val="600345F3"/>
    <w:rsid w:val="673578D7"/>
    <w:rsid w:val="7BE64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
    <w:qFormat/>
    <w:uiPriority w:val="9"/>
    <w:pPr>
      <w:widowControl/>
      <w:spacing w:before="156" w:beforeLines="50" w:after="156" w:afterLines="50" w:line="600" w:lineRule="exact"/>
      <w:jc w:val="center"/>
      <w:outlineLvl w:val="0"/>
    </w:pPr>
    <w:rPr>
      <w:rFonts w:ascii="方正小标宋简体" w:hAnsi="方正小标宋简体" w:eastAsia="方正小标宋简体" w:cs="宋体"/>
      <w:kern w:val="0"/>
      <w:sz w:val="44"/>
      <w:szCs w:val="44"/>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1 Char"/>
    <w:basedOn w:val="4"/>
    <w:link w:val="2"/>
    <w:qFormat/>
    <w:uiPriority w:val="9"/>
    <w:rPr>
      <w:rFonts w:ascii="方正小标宋简体" w:hAnsi="方正小标宋简体" w:eastAsia="方正小标宋简体" w:cs="宋体"/>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2235</Words>
  <Characters>2278</Characters>
  <Lines>9</Lines>
  <Paragraphs>2</Paragraphs>
  <TotalTime>0</TotalTime>
  <ScaleCrop>false</ScaleCrop>
  <LinksUpToDate>false</LinksUpToDate>
  <CharactersWithSpaces>2287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2022-12-02T02:34:00Z</dcterms:created>
  <dc:creator>abc</dc:creator>
  <cp:lastModifiedBy>abc</cp:lastModifiedBy>
  <dcterms:modified xsi:type="dcterms:W3CDTF">2023-07-17T09:19:05Z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DDA67F734DA74309BF67C70CC74EFAE9</vt:lpwstr>
  </property>
</Properties>
</file>