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44"/>
          <w:szCs w:val="44"/>
        </w:rPr>
      </w:pPr>
    </w:p>
    <w:p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pict>
          <v:group id="_x0000_s1026" o:spid="_x0000_s1026" o:spt="203" style="position:absolute;left:0pt;margin-left:2.7pt;margin-top:29.95pt;height:141.1pt;width:459pt;z-index:251659264;mso-width-relative:page;mso-height-relative:page;" coordorigin="1420,4736" coordsize="9180,2822">
            <o:lock v:ext="edit" aspectratio="f"/>
            <v:line id="_x0000_s1027" o:spid="_x0000_s1027" o:spt="20" style="position:absolute;left:1420;top:7550;flip:y;height:8;width:9180;" filled="f" stroked="t" coordsize="21600,21600">
              <v:path arrowok="t"/>
              <v:fill on="f" focussize="0,0"/>
              <v:stroke weight="2.25pt" color="#FF0000"/>
              <v:imagedata o:title=""/>
              <o:lock v:ext="edit" aspectratio="f"/>
            </v:line>
            <v:shape id="_x0000_s1028" o:spid="_x0000_s1028" o:spt="136" alt="洛阳市市场监督管理局文件" type="#_x0000_t136" style="position:absolute;left:1690;top:4736;height:1275;width:8655;" fillcolor="#FF0000" filled="t" stroked="t" coordsize="21600,21600" adj="10800">
              <v:path/>
              <v:fill on="t" color2="#FFFFFF" focussize="0,0"/>
              <v:stroke color="#FF0000"/>
              <v:imagedata o:title=""/>
              <o:lock v:ext="edit" aspectratio="f"/>
              <v:textpath on="t" fitshape="t" fitpath="t" trim="t" xscale="f" string="洛阳市发展和改革委员会文件" style="font-family:方正小标宋简体;font-size:36pt;v-text-align:center;"/>
            </v:shape>
          </v:group>
        </w:pict>
      </w:r>
    </w:p>
    <w:p>
      <w:pPr>
        <w:jc w:val="center"/>
        <w:rPr>
          <w:b/>
          <w:sz w:val="44"/>
          <w:szCs w:val="44"/>
        </w:rPr>
      </w:pPr>
    </w:p>
    <w:p>
      <w:pPr>
        <w:jc w:val="center"/>
        <w:rPr>
          <w:b/>
          <w:sz w:val="44"/>
          <w:szCs w:val="44"/>
        </w:rPr>
      </w:pPr>
    </w:p>
    <w:p>
      <w:pPr>
        <w:jc w:val="center"/>
        <w:rPr>
          <w:b/>
          <w:sz w:val="44"/>
          <w:szCs w:val="44"/>
        </w:rPr>
      </w:pPr>
    </w:p>
    <w:p>
      <w:pPr>
        <w:spacing w:line="600" w:lineRule="exact"/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洛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XX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〔202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〕  号 </w:t>
      </w:r>
    </w:p>
    <w:p>
      <w:pPr>
        <w:jc w:val="center"/>
        <w:rPr>
          <w:b/>
          <w:sz w:val="44"/>
          <w:szCs w:val="44"/>
        </w:rPr>
      </w:pPr>
    </w:p>
    <w:p>
      <w:pPr>
        <w:jc w:val="center"/>
        <w:rPr>
          <w:b/>
          <w:sz w:val="44"/>
          <w:szCs w:val="44"/>
        </w:rPr>
      </w:pPr>
    </w:p>
    <w:p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关于印发《202</w:t>
      </w:r>
      <w:r>
        <w:rPr>
          <w:rFonts w:hint="eastAsia"/>
          <w:b/>
          <w:sz w:val="44"/>
          <w:szCs w:val="44"/>
          <w:lang w:val="en-US" w:eastAsia="zh-CN"/>
        </w:rPr>
        <w:t>3</w:t>
      </w:r>
      <w:r>
        <w:rPr>
          <w:rFonts w:hint="eastAsia"/>
          <w:b/>
          <w:sz w:val="44"/>
          <w:szCs w:val="44"/>
        </w:rPr>
        <w:t>年触发式 “双随机、一公开”监管抽查计划》的通知</w:t>
      </w:r>
    </w:p>
    <w:p>
      <w:pPr>
        <w:rPr>
          <w:color w:val="FF0000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各有关单位：</w:t>
      </w:r>
    </w:p>
    <w:p>
      <w:pPr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现将洛阳市</w:t>
      </w:r>
      <w:r>
        <w:rPr>
          <w:rFonts w:hint="eastAsia" w:ascii="仿宋_GB2312" w:eastAsia="仿宋_GB2312"/>
          <w:sz w:val="32"/>
          <w:szCs w:val="32"/>
          <w:lang w:eastAsia="zh-CN"/>
        </w:rPr>
        <w:t>发展和改革委员会</w:t>
      </w:r>
      <w:r>
        <w:rPr>
          <w:rFonts w:hint="eastAsia" w:ascii="仿宋_GB2312" w:eastAsia="仿宋_GB2312"/>
          <w:sz w:val="32"/>
          <w:szCs w:val="32"/>
        </w:rPr>
        <w:t>《202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年触发式“双随机、一公开”监管抽查计划》印发给你们，请你们结合实际，认真做好“双随机、一公开”监管工作。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附件：《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2023年</w:t>
      </w:r>
      <w:r>
        <w:rPr>
          <w:rFonts w:hint="eastAsia" w:ascii="仿宋_GB2312" w:eastAsia="仿宋_GB2312"/>
          <w:sz w:val="32"/>
          <w:szCs w:val="32"/>
        </w:rPr>
        <w:t>触发式“双随机、一公开”监管抽查计划》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ind w:firstLine="5120" w:firstLineChars="1600"/>
        <w:rPr>
          <w:rFonts w:hint="eastAsia" w:ascii="仿宋_GB2312" w:eastAsia="仿宋_GB2312"/>
          <w:sz w:val="32"/>
          <w:szCs w:val="32"/>
        </w:rPr>
      </w:pPr>
    </w:p>
    <w:p>
      <w:pPr>
        <w:ind w:firstLine="5120" w:firstLineChars="16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日</w:t>
      </w:r>
    </w:p>
    <w:p>
      <w:pPr>
        <w:ind w:firstLine="5120" w:firstLineChars="1600"/>
        <w:rPr>
          <w:rFonts w:hint="eastAsia" w:ascii="仿宋_GB2312" w:eastAsia="仿宋_GB2312"/>
          <w:sz w:val="32"/>
          <w:szCs w:val="32"/>
        </w:rPr>
        <w:sectPr>
          <w:type w:val="continuous"/>
          <w:pgSz w:w="11906" w:h="16838"/>
          <w:pgMar w:top="1701" w:right="1474" w:bottom="1701" w:left="1588" w:header="851" w:footer="992" w:gutter="0"/>
          <w:cols w:space="425" w:num="1"/>
          <w:docGrid w:type="lines" w:linePitch="312" w:charSpace="0"/>
        </w:sectPr>
      </w:pPr>
      <w:bookmarkStart w:id="0" w:name="_Toc122976144"/>
    </w:p>
    <w:p>
      <w:pPr>
        <w:pStyle w:val="2"/>
        <w:spacing w:before="0" w:beforeLines="0"/>
        <w:rPr>
          <w:rFonts w:ascii="Times New Roman" w:hAnsi="Times New Roman"/>
        </w:rPr>
      </w:pPr>
      <w:r>
        <w:rPr>
          <w:rFonts w:hint="eastAsia" w:ascii="Times New Roman" w:hAnsi="Times New Roman"/>
          <w:lang w:val="en-US" w:eastAsia="zh-CN"/>
        </w:rPr>
        <w:t>2023</w:t>
      </w:r>
      <w:bookmarkStart w:id="1" w:name="_GoBack"/>
      <w:bookmarkEnd w:id="1"/>
      <w:r>
        <w:rPr>
          <w:rFonts w:hint="eastAsia" w:ascii="Times New Roman" w:hAnsi="Times New Roman"/>
          <w:lang w:val="en-US" w:eastAsia="zh-CN"/>
        </w:rPr>
        <w:t>年</w:t>
      </w:r>
      <w:r>
        <w:rPr>
          <w:rFonts w:hint="eastAsia" w:ascii="Times New Roman" w:hAnsi="Times New Roman"/>
        </w:rPr>
        <w:t>触发式“双随机、一公开”监管抽查</w:t>
      </w:r>
      <w:bookmarkEnd w:id="0"/>
      <w:r>
        <w:rPr>
          <w:rFonts w:hint="eastAsia" w:ascii="Times New Roman" w:hAnsi="Times New Roman"/>
        </w:rPr>
        <w:t>计划</w:t>
      </w:r>
    </w:p>
    <w:tbl>
      <w:tblPr>
        <w:tblStyle w:val="3"/>
        <w:tblW w:w="5000" w:type="pct"/>
        <w:tblInd w:w="0" w:type="dxa"/>
        <w:tblLayout w:type="autofit"/>
        <w:tblCellMar>
          <w:top w:w="17" w:type="dxa"/>
          <w:left w:w="17" w:type="dxa"/>
          <w:bottom w:w="17" w:type="dxa"/>
          <w:right w:w="17" w:type="dxa"/>
        </w:tblCellMar>
      </w:tblPr>
      <w:tblGrid>
        <w:gridCol w:w="307"/>
        <w:gridCol w:w="1072"/>
        <w:gridCol w:w="1740"/>
        <w:gridCol w:w="649"/>
        <w:gridCol w:w="994"/>
        <w:gridCol w:w="994"/>
        <w:gridCol w:w="1010"/>
        <w:gridCol w:w="3352"/>
        <w:gridCol w:w="3352"/>
      </w:tblGrid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  <w:tblHeader/>
        </w:trPr>
        <w:tc>
          <w:tcPr>
            <w:tcW w:w="114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</w:rPr>
              <w:t>序号</w:t>
            </w:r>
          </w:p>
        </w:tc>
        <w:tc>
          <w:tcPr>
            <w:tcW w:w="1044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</w:rPr>
              <w:t>抽查项目</w:t>
            </w:r>
          </w:p>
        </w:tc>
        <w:tc>
          <w:tcPr>
            <w:tcW w:w="24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</w:rPr>
              <w:t>检查对象</w:t>
            </w:r>
          </w:p>
        </w:tc>
        <w:tc>
          <w:tcPr>
            <w:tcW w:w="369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</w:rPr>
              <w:t>事项类别</w:t>
            </w:r>
          </w:p>
        </w:tc>
        <w:tc>
          <w:tcPr>
            <w:tcW w:w="369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</w:rPr>
              <w:t>检查方式</w:t>
            </w:r>
          </w:p>
        </w:tc>
        <w:tc>
          <w:tcPr>
            <w:tcW w:w="375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</w:rPr>
              <w:t>检查主体</w:t>
            </w:r>
          </w:p>
        </w:tc>
        <w:tc>
          <w:tcPr>
            <w:tcW w:w="1244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</w:rPr>
              <w:t>检查依据</w:t>
            </w:r>
          </w:p>
        </w:tc>
        <w:tc>
          <w:tcPr>
            <w:tcW w:w="1244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</w:rPr>
              <w:t>检查时间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  <w:tblHeader/>
        </w:trPr>
        <w:tc>
          <w:tcPr>
            <w:tcW w:w="11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</w:p>
        </w:tc>
        <w:tc>
          <w:tcPr>
            <w:tcW w:w="39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</w:rPr>
              <w:t>抽查大类</w:t>
            </w:r>
          </w:p>
        </w:tc>
        <w:tc>
          <w:tcPr>
            <w:tcW w:w="6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</w:rPr>
              <w:t>抽查事项</w:t>
            </w:r>
          </w:p>
        </w:tc>
        <w:tc>
          <w:tcPr>
            <w:tcW w:w="24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</w:p>
        </w:tc>
        <w:tc>
          <w:tcPr>
            <w:tcW w:w="36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</w:p>
        </w:tc>
        <w:tc>
          <w:tcPr>
            <w:tcW w:w="36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</w:p>
        </w:tc>
        <w:tc>
          <w:tcPr>
            <w:tcW w:w="37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</w:p>
        </w:tc>
        <w:tc>
          <w:tcPr>
            <w:tcW w:w="124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</w:p>
        </w:tc>
        <w:tc>
          <w:tcPr>
            <w:tcW w:w="1244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14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9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节能监察</w:t>
            </w:r>
          </w:p>
        </w:tc>
        <w:tc>
          <w:tcPr>
            <w:tcW w:w="6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节能审查意见落实情况监督检查</w:t>
            </w:r>
          </w:p>
        </w:tc>
        <w:tc>
          <w:tcPr>
            <w:tcW w:w="24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项目建设单位</w:t>
            </w:r>
          </w:p>
        </w:tc>
        <w:tc>
          <w:tcPr>
            <w:tcW w:w="36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一般检查事项</w:t>
            </w:r>
          </w:p>
        </w:tc>
        <w:tc>
          <w:tcPr>
            <w:tcW w:w="36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现场检查、书面检查</w:t>
            </w:r>
          </w:p>
        </w:tc>
        <w:tc>
          <w:tcPr>
            <w:tcW w:w="3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县级以上发展改革委</w:t>
            </w:r>
          </w:p>
        </w:tc>
        <w:tc>
          <w:tcPr>
            <w:tcW w:w="12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《节约能源法》第十五条、第六十八条</w:t>
            </w:r>
          </w:p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《固定资产投资项目节能审查办法》第十三条</w:t>
            </w:r>
          </w:p>
        </w:tc>
        <w:tc>
          <w:tcPr>
            <w:tcW w:w="12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1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对节能服务机构服务质量的行政检查</w:t>
            </w:r>
          </w:p>
        </w:tc>
        <w:tc>
          <w:tcPr>
            <w:tcW w:w="24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节能服务机构</w:t>
            </w:r>
          </w:p>
        </w:tc>
        <w:tc>
          <w:tcPr>
            <w:tcW w:w="36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一般检查事项</w:t>
            </w:r>
          </w:p>
        </w:tc>
        <w:tc>
          <w:tcPr>
            <w:tcW w:w="36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3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县级以上发展改革委</w:t>
            </w:r>
          </w:p>
        </w:tc>
        <w:tc>
          <w:tcPr>
            <w:tcW w:w="12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《中华人民共和国节约能源法》第七十六条</w:t>
            </w:r>
          </w:p>
        </w:tc>
        <w:tc>
          <w:tcPr>
            <w:tcW w:w="12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1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重点用能单位节能监督检查</w:t>
            </w:r>
          </w:p>
        </w:tc>
        <w:tc>
          <w:tcPr>
            <w:tcW w:w="24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重点用能单位</w:t>
            </w:r>
          </w:p>
        </w:tc>
        <w:tc>
          <w:tcPr>
            <w:tcW w:w="36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一般检查事项</w:t>
            </w:r>
          </w:p>
        </w:tc>
        <w:tc>
          <w:tcPr>
            <w:tcW w:w="36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现场检查、书面检查</w:t>
            </w:r>
          </w:p>
        </w:tc>
        <w:tc>
          <w:tcPr>
            <w:tcW w:w="3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县级以上发展改革委</w:t>
            </w:r>
          </w:p>
        </w:tc>
        <w:tc>
          <w:tcPr>
            <w:tcW w:w="12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《节约能源法》第五十二条、第五十三条、第五十四条、第五十五条、第七十一条、第七十二条、第八十二条、第八十三条、第八十四条</w:t>
            </w:r>
          </w:p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《河南省节约能源条例》</w:t>
            </w:r>
          </w:p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《河南省节能监察办法》</w:t>
            </w:r>
          </w:p>
        </w:tc>
        <w:tc>
          <w:tcPr>
            <w:tcW w:w="12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14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39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对电力企业的检查</w:t>
            </w:r>
          </w:p>
        </w:tc>
        <w:tc>
          <w:tcPr>
            <w:tcW w:w="6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对电力建设项目违反规定的检查</w:t>
            </w:r>
          </w:p>
        </w:tc>
        <w:tc>
          <w:tcPr>
            <w:tcW w:w="24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电力企业</w:t>
            </w:r>
          </w:p>
        </w:tc>
        <w:tc>
          <w:tcPr>
            <w:tcW w:w="36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一般检查事项</w:t>
            </w:r>
          </w:p>
        </w:tc>
        <w:tc>
          <w:tcPr>
            <w:tcW w:w="36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现场检查、书面检查</w:t>
            </w:r>
          </w:p>
        </w:tc>
        <w:tc>
          <w:tcPr>
            <w:tcW w:w="3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县级以上发展改革委</w:t>
            </w:r>
          </w:p>
        </w:tc>
        <w:tc>
          <w:tcPr>
            <w:tcW w:w="12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《中华人民共和国电力法》第十四条、第六十二条</w:t>
            </w:r>
          </w:p>
        </w:tc>
        <w:tc>
          <w:tcPr>
            <w:tcW w:w="12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1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对违法从事供电或者变更供电营业区的检查</w:t>
            </w:r>
          </w:p>
        </w:tc>
        <w:tc>
          <w:tcPr>
            <w:tcW w:w="24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电力企业</w:t>
            </w:r>
          </w:p>
        </w:tc>
        <w:tc>
          <w:tcPr>
            <w:tcW w:w="36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一般检查事项</w:t>
            </w:r>
          </w:p>
        </w:tc>
        <w:tc>
          <w:tcPr>
            <w:tcW w:w="36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现场检查、书面检查</w:t>
            </w:r>
          </w:p>
        </w:tc>
        <w:tc>
          <w:tcPr>
            <w:tcW w:w="3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县级以上发展改革委</w:t>
            </w:r>
          </w:p>
        </w:tc>
        <w:tc>
          <w:tcPr>
            <w:tcW w:w="12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《中华人民共和国电力法》第二十五条、第六十三条《电力供应与使用条例》第九条、第三十八条《供用电监督管理办法》第二十三条、第二十四条、第二十五条</w:t>
            </w:r>
          </w:p>
        </w:tc>
        <w:tc>
          <w:tcPr>
            <w:tcW w:w="12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1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对拒绝供电或者中断供电的检查</w:t>
            </w:r>
          </w:p>
        </w:tc>
        <w:tc>
          <w:tcPr>
            <w:tcW w:w="24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电力企业</w:t>
            </w:r>
          </w:p>
        </w:tc>
        <w:tc>
          <w:tcPr>
            <w:tcW w:w="36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一般检查事项</w:t>
            </w:r>
          </w:p>
        </w:tc>
        <w:tc>
          <w:tcPr>
            <w:tcW w:w="36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现场检查、书面检查</w:t>
            </w:r>
          </w:p>
        </w:tc>
        <w:tc>
          <w:tcPr>
            <w:tcW w:w="3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县级以上发展改革委</w:t>
            </w:r>
          </w:p>
        </w:tc>
        <w:tc>
          <w:tcPr>
            <w:tcW w:w="12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《中华人民共和国电力法》第二十六条、第二十九条、第六十四条《供用电监督管理办法》第二十六条</w:t>
            </w:r>
          </w:p>
        </w:tc>
        <w:tc>
          <w:tcPr>
            <w:tcW w:w="12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1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对电力企业违反费用、收费、指定工程等规定的检查</w:t>
            </w:r>
          </w:p>
        </w:tc>
        <w:tc>
          <w:tcPr>
            <w:tcW w:w="24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电力企业</w:t>
            </w:r>
          </w:p>
        </w:tc>
        <w:tc>
          <w:tcPr>
            <w:tcW w:w="36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一般检查事项</w:t>
            </w:r>
          </w:p>
        </w:tc>
        <w:tc>
          <w:tcPr>
            <w:tcW w:w="36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现场检查、书面检查</w:t>
            </w:r>
          </w:p>
        </w:tc>
        <w:tc>
          <w:tcPr>
            <w:tcW w:w="3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县级以上发展改革委</w:t>
            </w:r>
          </w:p>
        </w:tc>
        <w:tc>
          <w:tcPr>
            <w:tcW w:w="12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《中华人民共和国电力法》</w:t>
            </w:r>
          </w:p>
        </w:tc>
        <w:tc>
          <w:tcPr>
            <w:tcW w:w="12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1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对本市违法供电行为的检查</w:t>
            </w:r>
          </w:p>
        </w:tc>
        <w:tc>
          <w:tcPr>
            <w:tcW w:w="24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电力企业</w:t>
            </w:r>
          </w:p>
        </w:tc>
        <w:tc>
          <w:tcPr>
            <w:tcW w:w="36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一般检查事项</w:t>
            </w:r>
          </w:p>
        </w:tc>
        <w:tc>
          <w:tcPr>
            <w:tcW w:w="36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现场检查、书面检查</w:t>
            </w:r>
          </w:p>
        </w:tc>
        <w:tc>
          <w:tcPr>
            <w:tcW w:w="3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县级以上发展改革委</w:t>
            </w:r>
          </w:p>
        </w:tc>
        <w:tc>
          <w:tcPr>
            <w:tcW w:w="12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《中华人民共和国电力法》</w:t>
            </w:r>
          </w:p>
        </w:tc>
        <w:tc>
          <w:tcPr>
            <w:tcW w:w="12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14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39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对电力用户的检查</w:t>
            </w:r>
          </w:p>
        </w:tc>
        <w:tc>
          <w:tcPr>
            <w:tcW w:w="6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对本市电力用户违法用电行为的检查</w:t>
            </w:r>
          </w:p>
        </w:tc>
        <w:tc>
          <w:tcPr>
            <w:tcW w:w="24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电力用户</w:t>
            </w:r>
          </w:p>
        </w:tc>
        <w:tc>
          <w:tcPr>
            <w:tcW w:w="36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一般检查事项</w:t>
            </w:r>
          </w:p>
        </w:tc>
        <w:tc>
          <w:tcPr>
            <w:tcW w:w="36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现场检查、书面检查</w:t>
            </w:r>
          </w:p>
        </w:tc>
        <w:tc>
          <w:tcPr>
            <w:tcW w:w="3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县级以上发展改革委</w:t>
            </w:r>
          </w:p>
        </w:tc>
        <w:tc>
          <w:tcPr>
            <w:tcW w:w="12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《中华人民共和国电力法》</w:t>
            </w:r>
          </w:p>
        </w:tc>
        <w:tc>
          <w:tcPr>
            <w:tcW w:w="12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1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对危害供电、用电安全或者扰乱供电、用电秩序的检查</w:t>
            </w:r>
          </w:p>
        </w:tc>
        <w:tc>
          <w:tcPr>
            <w:tcW w:w="24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电力用户</w:t>
            </w:r>
          </w:p>
        </w:tc>
        <w:tc>
          <w:tcPr>
            <w:tcW w:w="36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一般检查事项</w:t>
            </w:r>
          </w:p>
        </w:tc>
        <w:tc>
          <w:tcPr>
            <w:tcW w:w="36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现场检查、书面检查</w:t>
            </w:r>
          </w:p>
        </w:tc>
        <w:tc>
          <w:tcPr>
            <w:tcW w:w="3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县级以上发展改革委</w:t>
            </w:r>
          </w:p>
        </w:tc>
        <w:tc>
          <w:tcPr>
            <w:tcW w:w="12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《中华人民共和国电力法》第三十二条、第六十五条《供用电监督管理办法》第二十八条</w:t>
            </w:r>
          </w:p>
        </w:tc>
        <w:tc>
          <w:tcPr>
            <w:tcW w:w="12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1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对盗窃电能的检查</w:t>
            </w:r>
          </w:p>
        </w:tc>
        <w:tc>
          <w:tcPr>
            <w:tcW w:w="24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电力用户</w:t>
            </w:r>
          </w:p>
        </w:tc>
        <w:tc>
          <w:tcPr>
            <w:tcW w:w="36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一般检查事项</w:t>
            </w:r>
          </w:p>
        </w:tc>
        <w:tc>
          <w:tcPr>
            <w:tcW w:w="36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现场检查、书面检查</w:t>
            </w:r>
          </w:p>
        </w:tc>
        <w:tc>
          <w:tcPr>
            <w:tcW w:w="3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县级以上发展改革委</w:t>
            </w:r>
          </w:p>
        </w:tc>
        <w:tc>
          <w:tcPr>
            <w:tcW w:w="12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《中华人民共和国电力法》第七十一条</w:t>
            </w:r>
          </w:p>
        </w:tc>
        <w:tc>
          <w:tcPr>
            <w:tcW w:w="12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</w:tbl>
    <w:p>
      <w:pPr>
        <w:widowControl/>
        <w:jc w:val="left"/>
        <w:rPr>
          <w:rFonts w:ascii="Times New Roman" w:hAnsi="Times New Roman"/>
        </w:rPr>
      </w:pPr>
    </w:p>
    <w:sectPr>
      <w:type w:val="continuous"/>
      <w:pgSz w:w="16838" w:h="11906" w:orient="landscape"/>
      <w:pgMar w:top="1588" w:right="1701" w:bottom="1474" w:left="1701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E5YmIzOGZkNTNiZWJlODM2ZjVkZWRmNTY3YjJlMzUifQ=="/>
  </w:docVars>
  <w:rsids>
    <w:rsidRoot w:val="0099262C"/>
    <w:rsid w:val="00052AED"/>
    <w:rsid w:val="00076345"/>
    <w:rsid w:val="000D44FB"/>
    <w:rsid w:val="000E271F"/>
    <w:rsid w:val="00107E0D"/>
    <w:rsid w:val="00162D8A"/>
    <w:rsid w:val="00186EF1"/>
    <w:rsid w:val="00194183"/>
    <w:rsid w:val="00224518"/>
    <w:rsid w:val="00225BF0"/>
    <w:rsid w:val="00260927"/>
    <w:rsid w:val="00284980"/>
    <w:rsid w:val="00292C4A"/>
    <w:rsid w:val="002B60AA"/>
    <w:rsid w:val="00310D02"/>
    <w:rsid w:val="00322EF4"/>
    <w:rsid w:val="003446C8"/>
    <w:rsid w:val="00361553"/>
    <w:rsid w:val="00365E27"/>
    <w:rsid w:val="00371A86"/>
    <w:rsid w:val="003D1221"/>
    <w:rsid w:val="00415AAA"/>
    <w:rsid w:val="00421A0A"/>
    <w:rsid w:val="00440A7C"/>
    <w:rsid w:val="00472BC0"/>
    <w:rsid w:val="004C370F"/>
    <w:rsid w:val="005001C2"/>
    <w:rsid w:val="00505967"/>
    <w:rsid w:val="00506E29"/>
    <w:rsid w:val="0051320C"/>
    <w:rsid w:val="005267D0"/>
    <w:rsid w:val="005411B6"/>
    <w:rsid w:val="005419E6"/>
    <w:rsid w:val="00571A19"/>
    <w:rsid w:val="00583D33"/>
    <w:rsid w:val="00591E64"/>
    <w:rsid w:val="00624AE1"/>
    <w:rsid w:val="006673BC"/>
    <w:rsid w:val="00701B8D"/>
    <w:rsid w:val="00703DB1"/>
    <w:rsid w:val="007229F8"/>
    <w:rsid w:val="00796A32"/>
    <w:rsid w:val="007A143A"/>
    <w:rsid w:val="007E1E08"/>
    <w:rsid w:val="00840FC5"/>
    <w:rsid w:val="00881E6A"/>
    <w:rsid w:val="00890904"/>
    <w:rsid w:val="00893B6E"/>
    <w:rsid w:val="008F60AB"/>
    <w:rsid w:val="00947D8A"/>
    <w:rsid w:val="00987831"/>
    <w:rsid w:val="0099262C"/>
    <w:rsid w:val="00992A86"/>
    <w:rsid w:val="009B0ACF"/>
    <w:rsid w:val="00A94D0C"/>
    <w:rsid w:val="00AB1711"/>
    <w:rsid w:val="00AB3FEB"/>
    <w:rsid w:val="00AD0B0C"/>
    <w:rsid w:val="00B27FB7"/>
    <w:rsid w:val="00B70426"/>
    <w:rsid w:val="00B92EB5"/>
    <w:rsid w:val="00B95471"/>
    <w:rsid w:val="00BC11C4"/>
    <w:rsid w:val="00BD006C"/>
    <w:rsid w:val="00BD07E7"/>
    <w:rsid w:val="00C0039E"/>
    <w:rsid w:val="00C26D79"/>
    <w:rsid w:val="00C274A7"/>
    <w:rsid w:val="00C61407"/>
    <w:rsid w:val="00CA7170"/>
    <w:rsid w:val="00D15732"/>
    <w:rsid w:val="00D57BA7"/>
    <w:rsid w:val="00D95632"/>
    <w:rsid w:val="00DB1C6A"/>
    <w:rsid w:val="00DC64C7"/>
    <w:rsid w:val="00DE43E4"/>
    <w:rsid w:val="00DF6E53"/>
    <w:rsid w:val="00E3324D"/>
    <w:rsid w:val="00E9306A"/>
    <w:rsid w:val="00EC6EF9"/>
    <w:rsid w:val="00EE530E"/>
    <w:rsid w:val="00F13EFA"/>
    <w:rsid w:val="00F16978"/>
    <w:rsid w:val="00F6046E"/>
    <w:rsid w:val="00FC2B5C"/>
    <w:rsid w:val="00FC5CC8"/>
    <w:rsid w:val="00FE12BD"/>
    <w:rsid w:val="0B214405"/>
    <w:rsid w:val="13AA2FB5"/>
    <w:rsid w:val="1BCC4982"/>
    <w:rsid w:val="2B567744"/>
    <w:rsid w:val="55F03F1F"/>
    <w:rsid w:val="580B4A9C"/>
    <w:rsid w:val="600345F3"/>
    <w:rsid w:val="6D334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5"/>
    <w:qFormat/>
    <w:uiPriority w:val="9"/>
    <w:pPr>
      <w:widowControl/>
      <w:spacing w:before="156" w:beforeLines="50" w:after="156" w:afterLines="50" w:line="600" w:lineRule="exact"/>
      <w:jc w:val="center"/>
      <w:outlineLvl w:val="0"/>
    </w:pPr>
    <w:rPr>
      <w:rFonts w:ascii="方正小标宋简体" w:hAnsi="方正小标宋简体" w:eastAsia="方正小标宋简体" w:cs="宋体"/>
      <w:kern w:val="0"/>
      <w:sz w:val="44"/>
      <w:szCs w:val="44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1 Char"/>
    <w:basedOn w:val="4"/>
    <w:link w:val="2"/>
    <w:qFormat/>
    <w:uiPriority w:val="9"/>
    <w:rPr>
      <w:rFonts w:ascii="方正小标宋简体" w:hAnsi="方正小标宋简体" w:eastAsia="方正小标宋简体" w:cs="宋体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7"/>
    <customShpInfo spid="_x0000_s1028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1178</Words>
  <Characters>1197</Characters>
  <Lines>9</Lines>
  <Paragraphs>2</Paragraphs>
  <TotalTime>2</TotalTime>
  <ScaleCrop>false</ScaleCrop>
  <LinksUpToDate>false</LinksUpToDate>
  <CharactersWithSpaces>1203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2022-12-02T02:34:00Z</dcterms:created>
  <dc:creator>abc</dc:creator>
  <cp:lastModifiedBy>abc</cp:lastModifiedBy>
  <dcterms:modified xsi:type="dcterms:W3CDTF">2023-07-17T08:18:05Z</dcterms:modified>
  <cp:revision>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47A8EAE9CB1845F89726214DC0B592B3</vt:lpwstr>
  </property>
</Properties>
</file>