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44"/>
          <w:szCs w:val="44"/>
        </w:rPr>
      </w:pPr>
    </w:p>
    <w:p>
      <w:pPr>
        <w:jc w:val="center"/>
        <w:rPr>
          <w:b/>
          <w:sz w:val="44"/>
          <w:szCs w:val="44"/>
        </w:rPr>
      </w:pPr>
      <w:r>
        <w:rPr>
          <w:b/>
          <w:sz w:val="44"/>
          <w:szCs w:val="44"/>
        </w:rPr>
        <w:pict>
          <v:group id="_x0000_s1026" o:spid="_x0000_s1026" o:spt="203" style="position:absolute;left:0pt;margin-left:2.7pt;margin-top:29.95pt;height:141.1pt;width:459pt;z-index:251659264;mso-width-relative:page;mso-height-relative:page;" coordorigin="1420,4736" coordsize="9180,2822">
            <o:lock v:ext="edit" aspectratio="f"/>
            <v:line id="_x0000_s1027" o:spid="_x0000_s1027" o:spt="20" style="position:absolute;left:1420;top:7550;flip:y;height:8;width:9180;" filled="f" stroked="t" coordsize="21600,21600">
              <v:path arrowok="t"/>
              <v:fill on="f" focussize="0,0"/>
              <v:stroke weight="2.25pt" color="#FF0000"/>
              <v:imagedata o:title=""/>
              <o:lock v:ext="edit" aspectratio="f"/>
            </v:line>
            <v:shape id="_x0000_s1028" o:spid="_x0000_s1028" o:spt="136" alt="洛阳市市场监督管理局文件" type="#_x0000_t136" style="position:absolute;left:1690;top:4736;height:1275;width:8655;" fillcolor="#FF0000" filled="t" stroked="t" coordsize="21600,21600" adj="10800">
              <v:path/>
              <v:fill on="t" color2="#FFFFFF" focussize="0,0"/>
              <v:stroke color="#FF0000"/>
              <v:imagedata o:title=""/>
              <o:lock v:ext="edit" aspectratio="f"/>
              <v:textpath on="t" fitshape="t" fitpath="t" trim="t" xscale="f" string="洛阳市卫生健康委员会文件" style="font-family:方正小标宋简体;font-size:36pt;v-text-align:center;"/>
            </v:shape>
          </v:group>
        </w:pict>
      </w:r>
    </w:p>
    <w:p>
      <w:pPr>
        <w:jc w:val="center"/>
        <w:rPr>
          <w:b/>
          <w:sz w:val="44"/>
          <w:szCs w:val="44"/>
        </w:rPr>
      </w:pPr>
    </w:p>
    <w:p>
      <w:pPr>
        <w:jc w:val="center"/>
        <w:rPr>
          <w:b/>
          <w:sz w:val="44"/>
          <w:szCs w:val="44"/>
        </w:rPr>
      </w:pPr>
    </w:p>
    <w:p>
      <w:pPr>
        <w:jc w:val="center"/>
        <w:rPr>
          <w:b/>
          <w:sz w:val="44"/>
          <w:szCs w:val="44"/>
        </w:rPr>
      </w:pPr>
    </w:p>
    <w:p>
      <w:pPr>
        <w:spacing w:line="600" w:lineRule="exact"/>
        <w:jc w:val="center"/>
        <w:rPr>
          <w:rFonts w:ascii="仿宋_GB2312" w:eastAsia="仿宋_GB2312"/>
          <w:sz w:val="32"/>
          <w:szCs w:val="32"/>
        </w:rPr>
      </w:pPr>
      <w:r>
        <w:rPr>
          <w:rFonts w:hint="eastAsia" w:ascii="仿宋_GB2312" w:hAnsi="仿宋_GB2312" w:eastAsia="仿宋_GB2312" w:cs="仿宋_GB2312"/>
          <w:color w:val="000000"/>
          <w:sz w:val="32"/>
          <w:szCs w:val="32"/>
        </w:rPr>
        <w:t>洛</w:t>
      </w:r>
      <w:r>
        <w:rPr>
          <w:rFonts w:hint="eastAsia" w:ascii="仿宋_GB2312" w:hAnsi="仿宋_GB2312" w:eastAsia="仿宋_GB2312" w:cs="仿宋_GB2312"/>
          <w:color w:val="FF0000"/>
          <w:sz w:val="32"/>
          <w:szCs w:val="32"/>
        </w:rPr>
        <w:t>XX</w:t>
      </w:r>
      <w:r>
        <w:rPr>
          <w:rFonts w:hint="eastAsia" w:ascii="仿宋_GB2312" w:hAnsi="仿宋_GB2312" w:eastAsia="仿宋_GB2312" w:cs="仿宋_GB2312"/>
          <w:color w:val="000000"/>
          <w:sz w:val="32"/>
          <w:szCs w:val="32"/>
        </w:rPr>
        <w:t>〔202</w:t>
      </w:r>
      <w:r>
        <w:rPr>
          <w:rFonts w:hint="eastAsia" w:ascii="仿宋_GB2312" w:hAnsi="仿宋_GB2312" w:eastAsia="仿宋_GB2312" w:cs="仿宋_GB2312"/>
          <w:color w:val="000000"/>
          <w:sz w:val="32"/>
          <w:szCs w:val="32"/>
          <w:lang w:val="en-US" w:eastAsia="zh-CN"/>
        </w:rPr>
        <w:t>3</w:t>
      </w:r>
      <w:r>
        <w:rPr>
          <w:rFonts w:hint="eastAsia" w:ascii="仿宋_GB2312" w:hAnsi="仿宋_GB2312" w:eastAsia="仿宋_GB2312" w:cs="仿宋_GB2312"/>
          <w:color w:val="000000"/>
          <w:sz w:val="32"/>
          <w:szCs w:val="32"/>
        </w:rPr>
        <w:t xml:space="preserve">〕  号 </w:t>
      </w:r>
    </w:p>
    <w:p>
      <w:pPr>
        <w:jc w:val="center"/>
        <w:rPr>
          <w:b/>
          <w:sz w:val="44"/>
          <w:szCs w:val="44"/>
        </w:rPr>
      </w:pPr>
    </w:p>
    <w:p>
      <w:pPr>
        <w:jc w:val="center"/>
        <w:rPr>
          <w:b/>
          <w:sz w:val="44"/>
          <w:szCs w:val="44"/>
        </w:rPr>
      </w:pPr>
    </w:p>
    <w:p>
      <w:pPr>
        <w:jc w:val="center"/>
        <w:rPr>
          <w:b/>
          <w:sz w:val="44"/>
          <w:szCs w:val="44"/>
        </w:rPr>
      </w:pPr>
      <w:r>
        <w:rPr>
          <w:rFonts w:hint="eastAsia"/>
          <w:b/>
          <w:sz w:val="44"/>
          <w:szCs w:val="44"/>
        </w:rPr>
        <w:t>关于印发《202</w:t>
      </w:r>
      <w:r>
        <w:rPr>
          <w:rFonts w:hint="eastAsia"/>
          <w:b/>
          <w:sz w:val="44"/>
          <w:szCs w:val="44"/>
          <w:lang w:val="en-US" w:eastAsia="zh-CN"/>
        </w:rPr>
        <w:t>3</w:t>
      </w:r>
      <w:r>
        <w:rPr>
          <w:rFonts w:hint="eastAsia"/>
          <w:b/>
          <w:sz w:val="44"/>
          <w:szCs w:val="44"/>
        </w:rPr>
        <w:t>年触发式 “双随机、一公开”监管抽查计划》的通知</w:t>
      </w:r>
    </w:p>
    <w:p>
      <w:pPr>
        <w:rPr>
          <w:color w:val="FF0000"/>
          <w:sz w:val="32"/>
          <w:szCs w:val="32"/>
        </w:rPr>
      </w:pPr>
    </w:p>
    <w:p>
      <w:pPr>
        <w:rPr>
          <w:rFonts w:ascii="仿宋_GB2312" w:eastAsia="仿宋_GB2312"/>
          <w:sz w:val="32"/>
          <w:szCs w:val="32"/>
        </w:rPr>
      </w:pPr>
      <w:r>
        <w:rPr>
          <w:rFonts w:hint="eastAsia" w:ascii="仿宋_GB2312" w:eastAsia="仿宋_GB2312"/>
          <w:sz w:val="32"/>
          <w:szCs w:val="32"/>
        </w:rPr>
        <w:t>各有关单位：</w:t>
      </w:r>
    </w:p>
    <w:p>
      <w:pPr>
        <w:ind w:firstLine="640" w:firstLineChars="200"/>
        <w:jc w:val="left"/>
        <w:rPr>
          <w:rFonts w:ascii="仿宋_GB2312" w:eastAsia="仿宋_GB2312"/>
          <w:sz w:val="32"/>
          <w:szCs w:val="32"/>
        </w:rPr>
      </w:pPr>
      <w:r>
        <w:rPr>
          <w:rFonts w:hint="eastAsia" w:ascii="仿宋_GB2312" w:eastAsia="仿宋_GB2312"/>
          <w:sz w:val="32"/>
          <w:szCs w:val="32"/>
        </w:rPr>
        <w:t>现将洛阳市</w:t>
      </w:r>
      <w:r>
        <w:rPr>
          <w:rFonts w:hint="eastAsia" w:ascii="仿宋_GB2312" w:eastAsia="仿宋_GB2312"/>
          <w:sz w:val="32"/>
          <w:szCs w:val="32"/>
          <w:lang w:eastAsia="zh-CN"/>
        </w:rPr>
        <w:t>卫生健康委员会</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年触发式“双随机、一公开”监管抽查计划》印发给你们，请你们结合实际，认真做好“双随机、一公开”监管工作。</w:t>
      </w: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r>
        <w:rPr>
          <w:rFonts w:hint="eastAsia" w:ascii="仿宋_GB2312" w:eastAsia="仿宋_GB2312"/>
          <w:sz w:val="32"/>
          <w:szCs w:val="32"/>
        </w:rPr>
        <w:t>附件：《</w:t>
      </w:r>
      <w:r>
        <w:rPr>
          <w:rFonts w:hint="eastAsia" w:ascii="仿宋_GB2312" w:eastAsia="仿宋_GB2312"/>
          <w:sz w:val="32"/>
          <w:szCs w:val="32"/>
          <w:lang w:val="en-US" w:eastAsia="zh-CN"/>
        </w:rPr>
        <w:t>2023年</w:t>
      </w:r>
      <w:r>
        <w:rPr>
          <w:rFonts w:hint="eastAsia" w:ascii="仿宋_GB2312" w:eastAsia="仿宋_GB2312"/>
          <w:sz w:val="32"/>
          <w:szCs w:val="32"/>
        </w:rPr>
        <w:t>触发式“双随机、一公开”监管抽查计划》</w:t>
      </w: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5120" w:firstLineChars="1600"/>
        <w:rPr>
          <w:rFonts w:hint="eastAsia" w:ascii="仿宋_GB2312" w:eastAsia="仿宋_GB2312"/>
          <w:sz w:val="32"/>
          <w:szCs w:val="32"/>
        </w:rPr>
      </w:pP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w:t>
      </w:r>
      <w:r>
        <w:rPr>
          <w:rFonts w:hint="eastAsia" w:ascii="仿宋_GB2312" w:eastAsia="仿宋_GB2312"/>
          <w:sz w:val="32"/>
          <w:szCs w:val="32"/>
          <w:lang w:val="en-US" w:eastAsia="zh-CN"/>
        </w:rPr>
        <w:t>6</w:t>
      </w:r>
      <w:r>
        <w:rPr>
          <w:rFonts w:hint="eastAsia" w:ascii="仿宋_GB2312" w:eastAsia="仿宋_GB2312"/>
          <w:sz w:val="32"/>
          <w:szCs w:val="32"/>
        </w:rPr>
        <w:t>月</w:t>
      </w:r>
      <w:r>
        <w:rPr>
          <w:rFonts w:hint="eastAsia" w:ascii="仿宋_GB2312" w:eastAsia="仿宋_GB2312"/>
          <w:sz w:val="32"/>
          <w:szCs w:val="32"/>
          <w:lang w:val="en-US" w:eastAsia="zh-CN"/>
        </w:rPr>
        <w:t xml:space="preserve">  </w:t>
      </w:r>
      <w:r>
        <w:rPr>
          <w:rFonts w:hint="eastAsia" w:ascii="仿宋_GB2312" w:eastAsia="仿宋_GB2312"/>
          <w:sz w:val="32"/>
          <w:szCs w:val="32"/>
        </w:rPr>
        <w:t>日</w:t>
      </w:r>
    </w:p>
    <w:p>
      <w:pPr>
        <w:pStyle w:val="2"/>
        <w:spacing w:before="0" w:beforeLines="0"/>
        <w:rPr>
          <w:rFonts w:ascii="Times New Roman" w:hAnsi="Times New Roman"/>
        </w:rPr>
        <w:sectPr>
          <w:type w:val="continuous"/>
          <w:pgSz w:w="11906" w:h="16838"/>
          <w:pgMar w:top="1701" w:right="1474" w:bottom="1701" w:left="1588" w:header="851" w:footer="992" w:gutter="0"/>
          <w:cols w:space="425" w:num="1"/>
          <w:docGrid w:type="lines" w:linePitch="312" w:charSpace="0"/>
        </w:sectPr>
      </w:pPr>
      <w:bookmarkStart w:id="0" w:name="_Toc122976144"/>
    </w:p>
    <w:p>
      <w:pPr>
        <w:pStyle w:val="2"/>
      </w:pPr>
      <w:r>
        <w:rPr>
          <w:rFonts w:hint="eastAsia" w:ascii="Times New Roman" w:hAnsi="Times New Roman"/>
          <w:lang w:val="en-US" w:eastAsia="zh-CN"/>
        </w:rPr>
        <w:t>2023</w:t>
      </w:r>
      <w:bookmarkStart w:id="1" w:name="_GoBack"/>
      <w:bookmarkEnd w:id="1"/>
      <w:r>
        <w:rPr>
          <w:rFonts w:hint="eastAsia" w:ascii="Times New Roman" w:hAnsi="Times New Roman"/>
          <w:lang w:val="en-US" w:eastAsia="zh-CN"/>
        </w:rPr>
        <w:t>年</w:t>
      </w:r>
      <w:r>
        <w:rPr>
          <w:rFonts w:hint="eastAsia" w:ascii="Times New Roman" w:hAnsi="Times New Roman"/>
        </w:rPr>
        <w:t>触发式“双随机、一公开”监管抽查</w:t>
      </w:r>
      <w:bookmarkEnd w:id="0"/>
      <w:r>
        <w:rPr>
          <w:rFonts w:hint="eastAsia" w:ascii="Times New Roman" w:hAnsi="Times New Roman"/>
        </w:rPr>
        <w:t>计划</w:t>
      </w:r>
    </w:p>
    <w:tbl>
      <w:tblPr>
        <w:tblStyle w:val="3"/>
        <w:tblW w:w="5033" w:type="pct"/>
        <w:tblInd w:w="0" w:type="dxa"/>
        <w:tblLayout w:type="fixed"/>
        <w:tblCellMar>
          <w:top w:w="17" w:type="dxa"/>
          <w:left w:w="17" w:type="dxa"/>
          <w:bottom w:w="17" w:type="dxa"/>
          <w:right w:w="17" w:type="dxa"/>
        </w:tblCellMar>
      </w:tblPr>
      <w:tblGrid>
        <w:gridCol w:w="285"/>
        <w:gridCol w:w="1275"/>
        <w:gridCol w:w="1995"/>
        <w:gridCol w:w="1215"/>
        <w:gridCol w:w="1080"/>
        <w:gridCol w:w="1155"/>
        <w:gridCol w:w="1395"/>
        <w:gridCol w:w="2610"/>
        <w:gridCol w:w="2550"/>
      </w:tblGrid>
      <w:tr>
        <w:tblPrEx>
          <w:tblCellMar>
            <w:top w:w="17" w:type="dxa"/>
            <w:left w:w="17" w:type="dxa"/>
            <w:bottom w:w="17" w:type="dxa"/>
            <w:right w:w="17" w:type="dxa"/>
          </w:tblCellMar>
        </w:tblPrEx>
        <w:trPr>
          <w:trHeight w:val="454" w:hRule="atLeast"/>
          <w:tblHeader/>
        </w:trPr>
        <w:tc>
          <w:tcPr>
            <w:tcW w:w="105"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黑体" w:cs="宋体"/>
                <w:color w:val="000000"/>
                <w:kern w:val="0"/>
                <w:sz w:val="24"/>
                <w:szCs w:val="24"/>
              </w:rPr>
            </w:pPr>
            <w:r>
              <w:rPr>
                <w:rFonts w:hint="eastAsia" w:ascii="Times New Roman" w:hAnsi="Times New Roman" w:eastAsia="黑体" w:cs="宋体"/>
                <w:color w:val="000000"/>
                <w:kern w:val="0"/>
                <w:sz w:val="24"/>
                <w:szCs w:val="24"/>
              </w:rPr>
              <w:t>序号</w:t>
            </w:r>
          </w:p>
        </w:tc>
        <w:tc>
          <w:tcPr>
            <w:tcW w:w="1205" w:type="pct"/>
            <w:gridSpan w:val="2"/>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黑体" w:cs="宋体"/>
                <w:color w:val="000000"/>
                <w:kern w:val="0"/>
                <w:sz w:val="24"/>
                <w:szCs w:val="24"/>
              </w:rPr>
            </w:pPr>
            <w:r>
              <w:rPr>
                <w:rFonts w:hint="eastAsia" w:ascii="Times New Roman" w:hAnsi="Times New Roman" w:eastAsia="黑体" w:cs="宋体"/>
                <w:color w:val="000000"/>
                <w:kern w:val="0"/>
                <w:sz w:val="24"/>
                <w:szCs w:val="24"/>
              </w:rPr>
              <w:t>抽查项目</w:t>
            </w:r>
          </w:p>
        </w:tc>
        <w:tc>
          <w:tcPr>
            <w:tcW w:w="448"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黑体" w:cs="宋体"/>
                <w:color w:val="000000"/>
                <w:kern w:val="0"/>
                <w:sz w:val="24"/>
                <w:szCs w:val="24"/>
              </w:rPr>
            </w:pPr>
            <w:r>
              <w:rPr>
                <w:rFonts w:hint="eastAsia" w:ascii="Times New Roman" w:hAnsi="Times New Roman" w:eastAsia="黑体" w:cs="宋体"/>
                <w:color w:val="000000"/>
                <w:kern w:val="0"/>
                <w:sz w:val="24"/>
                <w:szCs w:val="24"/>
              </w:rPr>
              <w:t>检查对象</w:t>
            </w:r>
          </w:p>
        </w:tc>
        <w:tc>
          <w:tcPr>
            <w:tcW w:w="398"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黑体" w:cs="宋体"/>
                <w:color w:val="000000"/>
                <w:kern w:val="0"/>
                <w:sz w:val="24"/>
                <w:szCs w:val="24"/>
              </w:rPr>
            </w:pPr>
            <w:r>
              <w:rPr>
                <w:rFonts w:hint="eastAsia" w:ascii="Times New Roman" w:hAnsi="Times New Roman" w:eastAsia="黑体" w:cs="宋体"/>
                <w:color w:val="000000"/>
                <w:kern w:val="0"/>
                <w:sz w:val="24"/>
                <w:szCs w:val="24"/>
              </w:rPr>
              <w:t>事项类别</w:t>
            </w:r>
          </w:p>
        </w:tc>
        <w:tc>
          <w:tcPr>
            <w:tcW w:w="425"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黑体" w:cs="宋体"/>
                <w:color w:val="000000"/>
                <w:kern w:val="0"/>
                <w:sz w:val="24"/>
                <w:szCs w:val="24"/>
              </w:rPr>
            </w:pPr>
            <w:r>
              <w:rPr>
                <w:rFonts w:hint="eastAsia" w:ascii="Times New Roman" w:hAnsi="Times New Roman" w:eastAsia="黑体" w:cs="宋体"/>
                <w:color w:val="000000"/>
                <w:kern w:val="0"/>
                <w:sz w:val="24"/>
                <w:szCs w:val="24"/>
              </w:rPr>
              <w:t>检查方式</w:t>
            </w:r>
          </w:p>
        </w:tc>
        <w:tc>
          <w:tcPr>
            <w:tcW w:w="514"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黑体" w:cs="宋体"/>
                <w:color w:val="000000"/>
                <w:kern w:val="0"/>
                <w:sz w:val="24"/>
                <w:szCs w:val="24"/>
              </w:rPr>
            </w:pPr>
            <w:r>
              <w:rPr>
                <w:rFonts w:hint="eastAsia" w:ascii="Times New Roman" w:hAnsi="Times New Roman" w:eastAsia="黑体" w:cs="宋体"/>
                <w:color w:val="000000"/>
                <w:kern w:val="0"/>
                <w:sz w:val="24"/>
                <w:szCs w:val="24"/>
              </w:rPr>
              <w:t>检查主体</w:t>
            </w:r>
          </w:p>
        </w:tc>
        <w:tc>
          <w:tcPr>
            <w:tcW w:w="962"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黑体" w:cs="宋体"/>
                <w:color w:val="000000"/>
                <w:kern w:val="0"/>
                <w:sz w:val="24"/>
                <w:szCs w:val="24"/>
              </w:rPr>
            </w:pPr>
            <w:r>
              <w:rPr>
                <w:rFonts w:hint="eastAsia" w:ascii="Times New Roman" w:hAnsi="Times New Roman" w:eastAsia="黑体" w:cs="宋体"/>
                <w:color w:val="000000"/>
                <w:kern w:val="0"/>
                <w:sz w:val="24"/>
                <w:szCs w:val="24"/>
              </w:rPr>
              <w:t>检查依据</w:t>
            </w:r>
          </w:p>
        </w:tc>
        <w:tc>
          <w:tcPr>
            <w:tcW w:w="940" w:type="pct"/>
            <w:vMerge w:val="restart"/>
            <w:tcBorders>
              <w:top w:val="single" w:color="auto" w:sz="4" w:space="0"/>
              <w:left w:val="single" w:color="auto" w:sz="4" w:space="0"/>
              <w:right w:val="single" w:color="auto" w:sz="4" w:space="0"/>
            </w:tcBorders>
            <w:shd w:val="clear" w:color="auto" w:fill="auto"/>
            <w:noWrap/>
            <w:vAlign w:val="center"/>
          </w:tcPr>
          <w:p>
            <w:pPr>
              <w:widowControl/>
              <w:spacing w:line="300" w:lineRule="exact"/>
              <w:jc w:val="center"/>
              <w:rPr>
                <w:rFonts w:hint="eastAsia" w:ascii="Times New Roman" w:hAnsi="Times New Roman" w:eastAsia="黑体" w:cs="宋体"/>
                <w:color w:val="000000"/>
                <w:kern w:val="0"/>
                <w:sz w:val="24"/>
                <w:szCs w:val="24"/>
                <w:lang w:eastAsia="zh-CN"/>
              </w:rPr>
            </w:pPr>
            <w:r>
              <w:rPr>
                <w:rFonts w:hint="eastAsia" w:ascii="Times New Roman" w:hAnsi="Times New Roman" w:eastAsia="黑体" w:cs="宋体"/>
                <w:color w:val="000000"/>
                <w:kern w:val="0"/>
                <w:sz w:val="24"/>
                <w:szCs w:val="24"/>
                <w:lang w:eastAsia="zh-CN"/>
              </w:rPr>
              <w:t>检查时间</w:t>
            </w:r>
          </w:p>
        </w:tc>
      </w:tr>
      <w:tr>
        <w:tblPrEx>
          <w:tblCellMar>
            <w:top w:w="17" w:type="dxa"/>
            <w:left w:w="17" w:type="dxa"/>
            <w:bottom w:w="17" w:type="dxa"/>
            <w:right w:w="17" w:type="dxa"/>
          </w:tblCellMar>
        </w:tblPrEx>
        <w:trPr>
          <w:trHeight w:val="454" w:hRule="atLeast"/>
          <w:tblHeader/>
        </w:trPr>
        <w:tc>
          <w:tcPr>
            <w:tcW w:w="105"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黑体" w:cs="宋体"/>
                <w:color w:val="000000"/>
                <w:kern w:val="0"/>
                <w:sz w:val="24"/>
                <w:szCs w:val="24"/>
              </w:rPr>
            </w:pPr>
          </w:p>
        </w:tc>
        <w:tc>
          <w:tcPr>
            <w:tcW w:w="470"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黑体" w:cs="宋体"/>
                <w:color w:val="000000"/>
                <w:kern w:val="0"/>
                <w:sz w:val="24"/>
                <w:szCs w:val="24"/>
              </w:rPr>
            </w:pPr>
            <w:r>
              <w:rPr>
                <w:rFonts w:hint="eastAsia" w:ascii="Times New Roman" w:hAnsi="Times New Roman" w:eastAsia="黑体" w:cs="宋体"/>
                <w:color w:val="000000"/>
                <w:kern w:val="0"/>
                <w:sz w:val="24"/>
                <w:szCs w:val="24"/>
              </w:rPr>
              <w:t>抽查大类</w:t>
            </w:r>
          </w:p>
        </w:tc>
        <w:tc>
          <w:tcPr>
            <w:tcW w:w="735"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黑体" w:cs="宋体"/>
                <w:color w:val="000000"/>
                <w:kern w:val="0"/>
                <w:sz w:val="24"/>
                <w:szCs w:val="24"/>
              </w:rPr>
            </w:pPr>
            <w:r>
              <w:rPr>
                <w:rFonts w:hint="eastAsia" w:ascii="Times New Roman" w:hAnsi="Times New Roman" w:eastAsia="黑体" w:cs="宋体"/>
                <w:color w:val="000000"/>
                <w:kern w:val="0"/>
                <w:sz w:val="24"/>
                <w:szCs w:val="24"/>
              </w:rPr>
              <w:t>抽查事项</w:t>
            </w:r>
          </w:p>
        </w:tc>
        <w:tc>
          <w:tcPr>
            <w:tcW w:w="448"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黑体" w:cs="宋体"/>
                <w:color w:val="000000"/>
                <w:kern w:val="0"/>
                <w:sz w:val="24"/>
                <w:szCs w:val="24"/>
              </w:rPr>
            </w:pPr>
          </w:p>
        </w:tc>
        <w:tc>
          <w:tcPr>
            <w:tcW w:w="398"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黑体" w:cs="宋体"/>
                <w:color w:val="000000"/>
                <w:kern w:val="0"/>
                <w:sz w:val="24"/>
                <w:szCs w:val="24"/>
              </w:rPr>
            </w:pPr>
          </w:p>
        </w:tc>
        <w:tc>
          <w:tcPr>
            <w:tcW w:w="425"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黑体" w:cs="宋体"/>
                <w:color w:val="000000"/>
                <w:kern w:val="0"/>
                <w:sz w:val="24"/>
                <w:szCs w:val="24"/>
              </w:rPr>
            </w:pPr>
          </w:p>
        </w:tc>
        <w:tc>
          <w:tcPr>
            <w:tcW w:w="514"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黑体" w:cs="宋体"/>
                <w:color w:val="000000"/>
                <w:kern w:val="0"/>
                <w:sz w:val="24"/>
                <w:szCs w:val="24"/>
              </w:rPr>
            </w:pPr>
          </w:p>
        </w:tc>
        <w:tc>
          <w:tcPr>
            <w:tcW w:w="962"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黑体" w:cs="宋体"/>
                <w:color w:val="000000"/>
                <w:kern w:val="0"/>
                <w:sz w:val="24"/>
                <w:szCs w:val="24"/>
              </w:rPr>
            </w:pPr>
          </w:p>
        </w:tc>
        <w:tc>
          <w:tcPr>
            <w:tcW w:w="940" w:type="pct"/>
            <w:vMerge w:val="continue"/>
            <w:tcBorders>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黑体" w:cs="宋体"/>
                <w:color w:val="000000"/>
                <w:kern w:val="0"/>
                <w:sz w:val="24"/>
                <w:szCs w:val="24"/>
              </w:rPr>
            </w:pPr>
          </w:p>
        </w:tc>
      </w:tr>
      <w:tr>
        <w:tblPrEx>
          <w:tblCellMar>
            <w:top w:w="17" w:type="dxa"/>
            <w:left w:w="17" w:type="dxa"/>
            <w:bottom w:w="17" w:type="dxa"/>
            <w:right w:w="17" w:type="dxa"/>
          </w:tblCellMar>
        </w:tblPrEx>
        <w:trPr>
          <w:trHeight w:val="454" w:hRule="atLeast"/>
        </w:trPr>
        <w:tc>
          <w:tcPr>
            <w:tcW w:w="105"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1</w:t>
            </w:r>
          </w:p>
        </w:tc>
        <w:tc>
          <w:tcPr>
            <w:tcW w:w="47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对公共场所卫生的监管</w:t>
            </w:r>
          </w:p>
        </w:tc>
        <w:tc>
          <w:tcPr>
            <w:tcW w:w="735"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kern w:val="0"/>
                <w:sz w:val="24"/>
                <w:szCs w:val="24"/>
              </w:rPr>
            </w:pPr>
            <w:r>
              <w:rPr>
                <w:rFonts w:hint="eastAsia" w:ascii="Times New Roman" w:hAnsi="Times New Roman" w:eastAsia="宋体" w:cs="宋体"/>
                <w:kern w:val="0"/>
                <w:sz w:val="24"/>
                <w:szCs w:val="24"/>
              </w:rPr>
              <w:t>公共场所卫生监督检查</w:t>
            </w:r>
          </w:p>
        </w:tc>
        <w:tc>
          <w:tcPr>
            <w:tcW w:w="448"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公共产所单位</w:t>
            </w:r>
          </w:p>
        </w:tc>
        <w:tc>
          <w:tcPr>
            <w:tcW w:w="398"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2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现场检查，抽样检测</w:t>
            </w:r>
          </w:p>
        </w:tc>
        <w:tc>
          <w:tcPr>
            <w:tcW w:w="514"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县级以上卫生健康部门</w:t>
            </w:r>
          </w:p>
        </w:tc>
        <w:tc>
          <w:tcPr>
            <w:tcW w:w="9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《公共场所卫生管理条例》、《公共场所卫生管理条例实施细则》</w:t>
            </w:r>
          </w:p>
        </w:tc>
        <w:tc>
          <w:tcPr>
            <w:tcW w:w="94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05"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2</w:t>
            </w:r>
          </w:p>
        </w:tc>
        <w:tc>
          <w:tcPr>
            <w:tcW w:w="47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对饮用水供水单位和涉及饮用水卫生安全产品的监管</w:t>
            </w:r>
          </w:p>
        </w:tc>
        <w:tc>
          <w:tcPr>
            <w:tcW w:w="73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kern w:val="0"/>
                <w:sz w:val="24"/>
                <w:szCs w:val="24"/>
              </w:rPr>
            </w:pPr>
            <w:r>
              <w:rPr>
                <w:rFonts w:hint="eastAsia" w:ascii="Times New Roman" w:hAnsi="Times New Roman" w:eastAsia="宋体" w:cs="宋体"/>
                <w:kern w:val="0"/>
                <w:sz w:val="24"/>
                <w:szCs w:val="24"/>
              </w:rPr>
              <w:t>饮用水供水单位和涉及饮用水卫生安全产品的卫生监督检查</w:t>
            </w:r>
          </w:p>
        </w:tc>
        <w:tc>
          <w:tcPr>
            <w:tcW w:w="44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集中供水单位</w:t>
            </w:r>
          </w:p>
        </w:tc>
        <w:tc>
          <w:tcPr>
            <w:tcW w:w="398"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2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现场检查，抽查产品质量报告</w:t>
            </w:r>
          </w:p>
        </w:tc>
        <w:tc>
          <w:tcPr>
            <w:tcW w:w="514"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县级以上卫生健康部门</w:t>
            </w:r>
          </w:p>
        </w:tc>
        <w:tc>
          <w:tcPr>
            <w:tcW w:w="96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《中华人民共和国传染病防治法》、《生活饮用水卫生监督管理办法》</w:t>
            </w:r>
          </w:p>
        </w:tc>
        <w:tc>
          <w:tcPr>
            <w:tcW w:w="94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05"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470"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735"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44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二次供水单位</w:t>
            </w:r>
          </w:p>
        </w:tc>
        <w:tc>
          <w:tcPr>
            <w:tcW w:w="398"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2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现场检查，抽查产品质量报告</w:t>
            </w:r>
          </w:p>
        </w:tc>
        <w:tc>
          <w:tcPr>
            <w:tcW w:w="514"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县级以上卫生健康部门</w:t>
            </w:r>
          </w:p>
        </w:tc>
        <w:tc>
          <w:tcPr>
            <w:tcW w:w="962"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940" w:type="pct"/>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05"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470"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735"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kern w:val="0"/>
                <w:sz w:val="24"/>
                <w:szCs w:val="24"/>
              </w:rPr>
            </w:pPr>
          </w:p>
        </w:tc>
        <w:tc>
          <w:tcPr>
            <w:tcW w:w="44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涉及饮用水卫生安全产品生产企业</w:t>
            </w:r>
          </w:p>
        </w:tc>
        <w:tc>
          <w:tcPr>
            <w:tcW w:w="398"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2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现场检查，抽查产品质量报告</w:t>
            </w:r>
          </w:p>
        </w:tc>
        <w:tc>
          <w:tcPr>
            <w:tcW w:w="514"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县级以上卫生健康部门</w:t>
            </w:r>
          </w:p>
        </w:tc>
        <w:tc>
          <w:tcPr>
            <w:tcW w:w="962"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940" w:type="pct"/>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05"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3</w:t>
            </w:r>
          </w:p>
        </w:tc>
        <w:tc>
          <w:tcPr>
            <w:tcW w:w="47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对学校、托幼机构卫生工作的监管</w:t>
            </w:r>
          </w:p>
        </w:tc>
        <w:tc>
          <w:tcPr>
            <w:tcW w:w="73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kern w:val="0"/>
                <w:sz w:val="24"/>
                <w:szCs w:val="24"/>
              </w:rPr>
            </w:pPr>
            <w:r>
              <w:rPr>
                <w:rFonts w:hint="eastAsia" w:ascii="Times New Roman" w:hAnsi="Times New Roman" w:eastAsia="宋体" w:cs="宋体"/>
                <w:kern w:val="0"/>
                <w:sz w:val="24"/>
                <w:szCs w:val="24"/>
              </w:rPr>
              <w:t>学校卫生、托幼机构卫生工作的监督检查</w:t>
            </w:r>
          </w:p>
        </w:tc>
        <w:tc>
          <w:tcPr>
            <w:tcW w:w="44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学校卫生、托幼机构</w:t>
            </w:r>
          </w:p>
        </w:tc>
        <w:tc>
          <w:tcPr>
            <w:tcW w:w="398"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2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w:t>
            </w:r>
          </w:p>
        </w:tc>
        <w:tc>
          <w:tcPr>
            <w:tcW w:w="514"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县级以上卫生健康部门</w:t>
            </w:r>
          </w:p>
        </w:tc>
        <w:tc>
          <w:tcPr>
            <w:tcW w:w="9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《学校卫生工作条例》、《托儿所幼儿园卫生保健管理办法》</w:t>
            </w:r>
          </w:p>
        </w:tc>
        <w:tc>
          <w:tcPr>
            <w:tcW w:w="940"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05"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4</w:t>
            </w:r>
          </w:p>
        </w:tc>
        <w:tc>
          <w:tcPr>
            <w:tcW w:w="47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对消毒产品及生产经营单位监管</w:t>
            </w:r>
          </w:p>
        </w:tc>
        <w:tc>
          <w:tcPr>
            <w:tcW w:w="73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kern w:val="0"/>
                <w:sz w:val="24"/>
                <w:szCs w:val="24"/>
              </w:rPr>
            </w:pPr>
            <w:r>
              <w:rPr>
                <w:rFonts w:hint="eastAsia" w:ascii="Times New Roman" w:hAnsi="Times New Roman" w:eastAsia="宋体" w:cs="宋体"/>
                <w:kern w:val="0"/>
                <w:sz w:val="24"/>
                <w:szCs w:val="24"/>
              </w:rPr>
              <w:t>消毒剂和消毒器械及其生产经营使用单位的监督检查</w:t>
            </w:r>
          </w:p>
        </w:tc>
        <w:tc>
          <w:tcPr>
            <w:tcW w:w="44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消毒剂和消毒器械及其生产经营使用单位</w:t>
            </w:r>
          </w:p>
        </w:tc>
        <w:tc>
          <w:tcPr>
            <w:tcW w:w="398"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25"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w:t>
            </w:r>
          </w:p>
        </w:tc>
        <w:tc>
          <w:tcPr>
            <w:tcW w:w="514"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县级以上卫生健康部门</w:t>
            </w:r>
          </w:p>
        </w:tc>
        <w:tc>
          <w:tcPr>
            <w:tcW w:w="9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《中华人民共和国传染病防治法》、《消毒管理办法》</w:t>
            </w:r>
          </w:p>
        </w:tc>
        <w:tc>
          <w:tcPr>
            <w:tcW w:w="94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05"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470"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73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kern w:val="0"/>
                <w:sz w:val="24"/>
                <w:szCs w:val="24"/>
              </w:rPr>
            </w:pPr>
            <w:r>
              <w:rPr>
                <w:rFonts w:hint="eastAsia" w:ascii="Times New Roman" w:hAnsi="Times New Roman" w:eastAsia="宋体" w:cs="宋体"/>
                <w:kern w:val="0"/>
                <w:sz w:val="24"/>
                <w:szCs w:val="24"/>
              </w:rPr>
              <w:t>餐饮具集中消毒服务单位的卫生监督</w:t>
            </w:r>
          </w:p>
        </w:tc>
        <w:tc>
          <w:tcPr>
            <w:tcW w:w="44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餐饮具集中消毒服务单位</w:t>
            </w:r>
          </w:p>
        </w:tc>
        <w:tc>
          <w:tcPr>
            <w:tcW w:w="398"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2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现场检查，查验产品样品检测报告</w:t>
            </w:r>
          </w:p>
        </w:tc>
        <w:tc>
          <w:tcPr>
            <w:tcW w:w="514"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县级以上卫生健康部门</w:t>
            </w:r>
          </w:p>
        </w:tc>
        <w:tc>
          <w:tcPr>
            <w:tcW w:w="9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《中华人民共和国食品安全法》、《餐具、饮具集中消毒服务单位卫生监督工作规范》</w:t>
            </w:r>
          </w:p>
        </w:tc>
        <w:tc>
          <w:tcPr>
            <w:tcW w:w="94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rPr>
            </w:pPr>
          </w:p>
        </w:tc>
      </w:tr>
      <w:tr>
        <w:tblPrEx>
          <w:tblCellMar>
            <w:top w:w="17" w:type="dxa"/>
            <w:left w:w="17" w:type="dxa"/>
            <w:bottom w:w="17" w:type="dxa"/>
            <w:right w:w="17" w:type="dxa"/>
          </w:tblCellMar>
        </w:tblPrEx>
        <w:trPr>
          <w:trHeight w:val="1141" w:hRule="atLeast"/>
        </w:trPr>
        <w:tc>
          <w:tcPr>
            <w:tcW w:w="105"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5</w:t>
            </w:r>
          </w:p>
        </w:tc>
        <w:tc>
          <w:tcPr>
            <w:tcW w:w="470"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对医疗机构的监管</w:t>
            </w:r>
          </w:p>
        </w:tc>
        <w:tc>
          <w:tcPr>
            <w:tcW w:w="73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kern w:val="0"/>
                <w:sz w:val="24"/>
                <w:szCs w:val="24"/>
              </w:rPr>
            </w:pPr>
            <w:r>
              <w:rPr>
                <w:rFonts w:hint="eastAsia" w:ascii="Times New Roman" w:hAnsi="Times New Roman" w:eastAsia="宋体" w:cs="宋体"/>
                <w:kern w:val="0"/>
                <w:sz w:val="24"/>
                <w:szCs w:val="24"/>
              </w:rPr>
              <w:t>医疗机构设置和执业的监督检查</w:t>
            </w:r>
          </w:p>
        </w:tc>
        <w:tc>
          <w:tcPr>
            <w:tcW w:w="448"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医疗卫生机构</w:t>
            </w:r>
          </w:p>
        </w:tc>
        <w:tc>
          <w:tcPr>
            <w:tcW w:w="398"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2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w:t>
            </w:r>
          </w:p>
        </w:tc>
        <w:tc>
          <w:tcPr>
            <w:tcW w:w="514"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县级以上卫生健康部门</w:t>
            </w:r>
          </w:p>
        </w:tc>
        <w:tc>
          <w:tcPr>
            <w:tcW w:w="9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《中华人民共和国基本医疗卫生与健康促进法》、《医疗机构管理条例》</w:t>
            </w:r>
          </w:p>
        </w:tc>
        <w:tc>
          <w:tcPr>
            <w:tcW w:w="94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832" w:hRule="atLeast"/>
        </w:trPr>
        <w:tc>
          <w:tcPr>
            <w:tcW w:w="105"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6</w:t>
            </w:r>
          </w:p>
        </w:tc>
        <w:tc>
          <w:tcPr>
            <w:tcW w:w="47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对医疗机构评审评价的监管</w:t>
            </w:r>
          </w:p>
        </w:tc>
        <w:tc>
          <w:tcPr>
            <w:tcW w:w="73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kern w:val="0"/>
                <w:sz w:val="24"/>
                <w:szCs w:val="24"/>
              </w:rPr>
            </w:pPr>
            <w:r>
              <w:rPr>
                <w:rFonts w:hint="eastAsia" w:ascii="Times New Roman" w:hAnsi="Times New Roman" w:eastAsia="宋体" w:cs="宋体"/>
                <w:kern w:val="0"/>
                <w:sz w:val="24"/>
                <w:szCs w:val="24"/>
              </w:rPr>
              <w:t>医疗机构等级评审评价的行政检查</w:t>
            </w:r>
          </w:p>
        </w:tc>
        <w:tc>
          <w:tcPr>
            <w:tcW w:w="448"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医疗卫生机构</w:t>
            </w:r>
          </w:p>
        </w:tc>
        <w:tc>
          <w:tcPr>
            <w:tcW w:w="398"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2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w:t>
            </w:r>
          </w:p>
        </w:tc>
        <w:tc>
          <w:tcPr>
            <w:tcW w:w="514"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县级以上卫生健康部门</w:t>
            </w:r>
          </w:p>
        </w:tc>
        <w:tc>
          <w:tcPr>
            <w:tcW w:w="9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《医疗机构管理条例》、《医疗机构评审办法》</w:t>
            </w:r>
          </w:p>
        </w:tc>
        <w:tc>
          <w:tcPr>
            <w:tcW w:w="94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05"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7</w:t>
            </w:r>
          </w:p>
        </w:tc>
        <w:tc>
          <w:tcPr>
            <w:tcW w:w="47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对中医药工作的监管</w:t>
            </w:r>
          </w:p>
        </w:tc>
        <w:tc>
          <w:tcPr>
            <w:tcW w:w="735"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中医药工作的行政检查</w:t>
            </w:r>
          </w:p>
        </w:tc>
        <w:tc>
          <w:tcPr>
            <w:tcW w:w="44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中医诊疗机构、中医医师、中医药从业人员</w:t>
            </w:r>
          </w:p>
        </w:tc>
        <w:tc>
          <w:tcPr>
            <w:tcW w:w="398"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2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w:t>
            </w:r>
          </w:p>
        </w:tc>
        <w:tc>
          <w:tcPr>
            <w:tcW w:w="514"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县级以上卫生健康部门</w:t>
            </w:r>
          </w:p>
        </w:tc>
        <w:tc>
          <w:tcPr>
            <w:tcW w:w="9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《中华人民共和国中医药法》、《中医药条例》、《中药品种保护条例》、《中医诊所备案管理暂行办法》、《医疗气功管理暂行规定》</w:t>
            </w:r>
          </w:p>
        </w:tc>
        <w:tc>
          <w:tcPr>
            <w:tcW w:w="94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05"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8</w:t>
            </w:r>
          </w:p>
        </w:tc>
        <w:tc>
          <w:tcPr>
            <w:tcW w:w="470"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对医师的监管</w:t>
            </w:r>
          </w:p>
        </w:tc>
        <w:tc>
          <w:tcPr>
            <w:tcW w:w="735"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医师执业的监督检查</w:t>
            </w:r>
          </w:p>
        </w:tc>
        <w:tc>
          <w:tcPr>
            <w:tcW w:w="44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医疗卫生机构及从事医师执业活动人员</w:t>
            </w:r>
          </w:p>
        </w:tc>
        <w:tc>
          <w:tcPr>
            <w:tcW w:w="398"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2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w:t>
            </w:r>
          </w:p>
        </w:tc>
        <w:tc>
          <w:tcPr>
            <w:tcW w:w="514"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县级以上卫生健康部门</w:t>
            </w:r>
          </w:p>
        </w:tc>
        <w:tc>
          <w:tcPr>
            <w:tcW w:w="9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《中华人民共和国医师法》、《中华人民共和国中医药法》、《乡村医生从业管理条例》</w:t>
            </w:r>
          </w:p>
        </w:tc>
        <w:tc>
          <w:tcPr>
            <w:tcW w:w="940"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05"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9</w:t>
            </w:r>
          </w:p>
        </w:tc>
        <w:tc>
          <w:tcPr>
            <w:tcW w:w="470"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对护士的监管</w:t>
            </w:r>
          </w:p>
        </w:tc>
        <w:tc>
          <w:tcPr>
            <w:tcW w:w="735"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护士执业的监督检查</w:t>
            </w:r>
          </w:p>
        </w:tc>
        <w:tc>
          <w:tcPr>
            <w:tcW w:w="44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医疗卫生机构及从事护士工作人员</w:t>
            </w:r>
          </w:p>
        </w:tc>
        <w:tc>
          <w:tcPr>
            <w:tcW w:w="398"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2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w:t>
            </w:r>
          </w:p>
        </w:tc>
        <w:tc>
          <w:tcPr>
            <w:tcW w:w="514"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县级以上卫生健康部门</w:t>
            </w:r>
          </w:p>
        </w:tc>
        <w:tc>
          <w:tcPr>
            <w:tcW w:w="9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《护士条例》、《护士执业注册管理办法》</w:t>
            </w:r>
          </w:p>
        </w:tc>
        <w:tc>
          <w:tcPr>
            <w:tcW w:w="940"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1377" w:hRule="atLeast"/>
        </w:trPr>
        <w:tc>
          <w:tcPr>
            <w:tcW w:w="105"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10</w:t>
            </w:r>
          </w:p>
        </w:tc>
        <w:tc>
          <w:tcPr>
            <w:tcW w:w="470"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医疗广告的管理</w:t>
            </w:r>
          </w:p>
        </w:tc>
        <w:tc>
          <w:tcPr>
            <w:tcW w:w="73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医疗机构发布虚假违法医疗广告的行政检查</w:t>
            </w:r>
          </w:p>
        </w:tc>
        <w:tc>
          <w:tcPr>
            <w:tcW w:w="448"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医疗卫生机构</w:t>
            </w:r>
          </w:p>
        </w:tc>
        <w:tc>
          <w:tcPr>
            <w:tcW w:w="398"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2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w:t>
            </w:r>
          </w:p>
        </w:tc>
        <w:tc>
          <w:tcPr>
            <w:tcW w:w="514"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县级以上卫生健康部门</w:t>
            </w:r>
          </w:p>
        </w:tc>
        <w:tc>
          <w:tcPr>
            <w:tcW w:w="9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《中华人民共和国广告法》、《医疗广告管理办法》</w:t>
            </w:r>
          </w:p>
        </w:tc>
        <w:tc>
          <w:tcPr>
            <w:tcW w:w="94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05"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11</w:t>
            </w:r>
          </w:p>
        </w:tc>
        <w:tc>
          <w:tcPr>
            <w:tcW w:w="47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对疾病预防控制机构、医疗机构传染病防治工作的监管</w:t>
            </w:r>
          </w:p>
        </w:tc>
        <w:tc>
          <w:tcPr>
            <w:tcW w:w="73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kern w:val="0"/>
                <w:sz w:val="24"/>
                <w:szCs w:val="24"/>
              </w:rPr>
            </w:pPr>
            <w:r>
              <w:rPr>
                <w:rFonts w:hint="eastAsia" w:ascii="Times New Roman" w:hAnsi="Times New Roman" w:eastAsia="宋体" w:cs="宋体"/>
                <w:kern w:val="0"/>
                <w:sz w:val="24"/>
                <w:szCs w:val="24"/>
              </w:rPr>
              <w:t>疾病预防控制机构、医疗机构传染病防控工作的卫生监督检查</w:t>
            </w:r>
          </w:p>
        </w:tc>
        <w:tc>
          <w:tcPr>
            <w:tcW w:w="44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疾病预防控制机构、医疗机构</w:t>
            </w:r>
          </w:p>
        </w:tc>
        <w:tc>
          <w:tcPr>
            <w:tcW w:w="398"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2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w:t>
            </w:r>
          </w:p>
        </w:tc>
        <w:tc>
          <w:tcPr>
            <w:tcW w:w="514"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县级以上卫生健康部门</w:t>
            </w:r>
          </w:p>
        </w:tc>
        <w:tc>
          <w:tcPr>
            <w:tcW w:w="96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《中华人民共和国传染病防治法》、《消毒管理办法》</w:t>
            </w:r>
          </w:p>
        </w:tc>
        <w:tc>
          <w:tcPr>
            <w:tcW w:w="94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1556" w:hRule="atLeast"/>
        </w:trPr>
        <w:tc>
          <w:tcPr>
            <w:tcW w:w="105"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470"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73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kern w:val="0"/>
                <w:sz w:val="24"/>
                <w:szCs w:val="24"/>
              </w:rPr>
            </w:pPr>
            <w:r>
              <w:rPr>
                <w:rFonts w:hint="eastAsia" w:ascii="Times New Roman" w:hAnsi="Times New Roman" w:eastAsia="宋体" w:cs="宋体"/>
                <w:kern w:val="0"/>
                <w:sz w:val="24"/>
                <w:szCs w:val="24"/>
              </w:rPr>
              <w:t>疾病预防控制机构、医疗机构消毒技术管理工作的监督检查</w:t>
            </w:r>
          </w:p>
        </w:tc>
        <w:tc>
          <w:tcPr>
            <w:tcW w:w="44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疾病预防控制机构、医疗机构</w:t>
            </w:r>
          </w:p>
        </w:tc>
        <w:tc>
          <w:tcPr>
            <w:tcW w:w="398"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2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w:t>
            </w:r>
          </w:p>
        </w:tc>
        <w:tc>
          <w:tcPr>
            <w:tcW w:w="514"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县级以上卫生健康部门</w:t>
            </w:r>
          </w:p>
        </w:tc>
        <w:tc>
          <w:tcPr>
            <w:tcW w:w="962"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940" w:type="pct"/>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05"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12</w:t>
            </w:r>
          </w:p>
        </w:tc>
        <w:tc>
          <w:tcPr>
            <w:tcW w:w="470"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对预防接种的监管</w:t>
            </w:r>
          </w:p>
        </w:tc>
        <w:tc>
          <w:tcPr>
            <w:tcW w:w="735"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预防接种单位的监督检查</w:t>
            </w:r>
          </w:p>
        </w:tc>
        <w:tc>
          <w:tcPr>
            <w:tcW w:w="44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病预防控制机构、接种单位、医疗卫生人员</w:t>
            </w:r>
          </w:p>
        </w:tc>
        <w:tc>
          <w:tcPr>
            <w:tcW w:w="398"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重点检查事项</w:t>
            </w:r>
          </w:p>
        </w:tc>
        <w:tc>
          <w:tcPr>
            <w:tcW w:w="42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w:t>
            </w:r>
          </w:p>
        </w:tc>
        <w:tc>
          <w:tcPr>
            <w:tcW w:w="514"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县级以上卫生健康部门</w:t>
            </w:r>
          </w:p>
        </w:tc>
        <w:tc>
          <w:tcPr>
            <w:tcW w:w="962"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《中华人民共和国疫苗管理法》</w:t>
            </w:r>
          </w:p>
        </w:tc>
        <w:tc>
          <w:tcPr>
            <w:tcW w:w="940"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05"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13</w:t>
            </w:r>
          </w:p>
        </w:tc>
        <w:tc>
          <w:tcPr>
            <w:tcW w:w="47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医疗废物收集、运送、贮存、处置活动中的疾病防治工作的监管</w:t>
            </w:r>
          </w:p>
        </w:tc>
        <w:tc>
          <w:tcPr>
            <w:tcW w:w="73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医疗废物收集、运送、贮存、处置活动中的疾病防治工作的监督检查</w:t>
            </w:r>
          </w:p>
        </w:tc>
        <w:tc>
          <w:tcPr>
            <w:tcW w:w="44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医疗卫生机构</w:t>
            </w:r>
          </w:p>
        </w:tc>
        <w:tc>
          <w:tcPr>
            <w:tcW w:w="398"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2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w:t>
            </w:r>
          </w:p>
        </w:tc>
        <w:tc>
          <w:tcPr>
            <w:tcW w:w="514"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县级以上卫生健康部门</w:t>
            </w:r>
          </w:p>
        </w:tc>
        <w:tc>
          <w:tcPr>
            <w:tcW w:w="9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《医疗废物管理条例》</w:t>
            </w:r>
          </w:p>
        </w:tc>
        <w:tc>
          <w:tcPr>
            <w:tcW w:w="940"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0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14</w:t>
            </w:r>
          </w:p>
        </w:tc>
        <w:tc>
          <w:tcPr>
            <w:tcW w:w="47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对艾滋病防控监管</w:t>
            </w:r>
          </w:p>
        </w:tc>
        <w:tc>
          <w:tcPr>
            <w:tcW w:w="735"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艾滋病预防控制的行政检查</w:t>
            </w:r>
          </w:p>
        </w:tc>
        <w:tc>
          <w:tcPr>
            <w:tcW w:w="44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医疗卫生机构、血站、单采血浆站、血液制品生产单位、公共场所单位和个人</w:t>
            </w:r>
          </w:p>
        </w:tc>
        <w:tc>
          <w:tcPr>
            <w:tcW w:w="398"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2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w:t>
            </w:r>
          </w:p>
        </w:tc>
        <w:tc>
          <w:tcPr>
            <w:tcW w:w="514"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县级以上卫生健康部门</w:t>
            </w:r>
          </w:p>
        </w:tc>
        <w:tc>
          <w:tcPr>
            <w:tcW w:w="962"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《艾滋病防治条例》</w:t>
            </w:r>
          </w:p>
        </w:tc>
        <w:tc>
          <w:tcPr>
            <w:tcW w:w="940" w:type="pct"/>
            <w:tcBorders>
              <w:top w:val="single" w:color="auto" w:sz="4" w:space="0"/>
              <w:left w:val="nil"/>
              <w:bottom w:val="single" w:color="auto" w:sz="4" w:space="0"/>
              <w:right w:val="single" w:color="auto" w:sz="4" w:space="0"/>
            </w:tcBorders>
            <w:shd w:val="clear" w:color="auto" w:fill="auto"/>
            <w:noWrap/>
            <w:vAlign w:val="center"/>
          </w:tcPr>
          <w:p>
            <w:pPr>
              <w:widowControl/>
              <w:spacing w:line="28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05"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15</w:t>
            </w:r>
          </w:p>
        </w:tc>
        <w:tc>
          <w:tcPr>
            <w:tcW w:w="47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对母婴保健和计划生育技术服务的监督检查</w:t>
            </w:r>
          </w:p>
        </w:tc>
        <w:tc>
          <w:tcPr>
            <w:tcW w:w="73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妇幼健康工作情况的监督检查</w:t>
            </w:r>
          </w:p>
        </w:tc>
        <w:tc>
          <w:tcPr>
            <w:tcW w:w="44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妇幼健康和计划生育机构</w:t>
            </w:r>
          </w:p>
        </w:tc>
        <w:tc>
          <w:tcPr>
            <w:tcW w:w="398"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2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w:t>
            </w:r>
          </w:p>
        </w:tc>
        <w:tc>
          <w:tcPr>
            <w:tcW w:w="514"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县级以上卫生健康部门</w:t>
            </w:r>
          </w:p>
        </w:tc>
        <w:tc>
          <w:tcPr>
            <w:tcW w:w="9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《中华人民共和国母婴保健法》，《中华人民共和国人口与计划生育法》</w:t>
            </w:r>
          </w:p>
        </w:tc>
        <w:tc>
          <w:tcPr>
            <w:tcW w:w="94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05"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470"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ascii="Times New Roman" w:hAnsi="Times New Roman" w:eastAsia="宋体" w:cs="宋体"/>
                <w:color w:val="000000"/>
                <w:kern w:val="0"/>
                <w:sz w:val="24"/>
                <w:szCs w:val="24"/>
              </w:rPr>
            </w:pPr>
          </w:p>
        </w:tc>
        <w:tc>
          <w:tcPr>
            <w:tcW w:w="73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人类辅助生殖技术的监督检查</w:t>
            </w:r>
          </w:p>
        </w:tc>
        <w:tc>
          <w:tcPr>
            <w:tcW w:w="44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从事人类辅助生殖技术的医疗机构</w:t>
            </w:r>
          </w:p>
        </w:tc>
        <w:tc>
          <w:tcPr>
            <w:tcW w:w="398"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2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w:t>
            </w:r>
          </w:p>
        </w:tc>
        <w:tc>
          <w:tcPr>
            <w:tcW w:w="514"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县级以上卫生健康部门</w:t>
            </w:r>
          </w:p>
        </w:tc>
        <w:tc>
          <w:tcPr>
            <w:tcW w:w="9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《中华人民共和国母婴保健法》、《人类辅助生殖技术管理办法》</w:t>
            </w:r>
          </w:p>
        </w:tc>
        <w:tc>
          <w:tcPr>
            <w:tcW w:w="94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2107" w:hRule="atLeast"/>
        </w:trPr>
        <w:tc>
          <w:tcPr>
            <w:tcW w:w="105"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16</w:t>
            </w:r>
          </w:p>
        </w:tc>
        <w:tc>
          <w:tcPr>
            <w:tcW w:w="47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计划生育落实情况的监管</w:t>
            </w:r>
          </w:p>
        </w:tc>
        <w:tc>
          <w:tcPr>
            <w:tcW w:w="73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计划生育落实情况的行政检查</w:t>
            </w:r>
          </w:p>
        </w:tc>
        <w:tc>
          <w:tcPr>
            <w:tcW w:w="44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医疗卫生机构及医务人员</w:t>
            </w:r>
          </w:p>
        </w:tc>
        <w:tc>
          <w:tcPr>
            <w:tcW w:w="398"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2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w:t>
            </w:r>
          </w:p>
        </w:tc>
        <w:tc>
          <w:tcPr>
            <w:tcW w:w="514"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县级以上卫生健康部门</w:t>
            </w:r>
          </w:p>
        </w:tc>
        <w:tc>
          <w:tcPr>
            <w:tcW w:w="9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《中华人民共和国母婴保健法》，《中华人民共和国人口与计划生育法》、《关于禁止非医学需要的胎儿性别鉴定和选择性别的终止妊娠手术的规定》</w:t>
            </w:r>
          </w:p>
        </w:tc>
        <w:tc>
          <w:tcPr>
            <w:tcW w:w="94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05"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17</w:t>
            </w:r>
          </w:p>
        </w:tc>
        <w:tc>
          <w:tcPr>
            <w:tcW w:w="470"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对精神卫生工作的监管</w:t>
            </w:r>
          </w:p>
        </w:tc>
        <w:tc>
          <w:tcPr>
            <w:tcW w:w="735"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精神卫生工作的监督检查</w:t>
            </w:r>
          </w:p>
        </w:tc>
        <w:tc>
          <w:tcPr>
            <w:tcW w:w="44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医疗机构及其工作人员</w:t>
            </w:r>
          </w:p>
        </w:tc>
        <w:tc>
          <w:tcPr>
            <w:tcW w:w="398"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2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w:t>
            </w:r>
          </w:p>
        </w:tc>
        <w:tc>
          <w:tcPr>
            <w:tcW w:w="514"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县级以上卫生健康部门</w:t>
            </w:r>
          </w:p>
        </w:tc>
        <w:tc>
          <w:tcPr>
            <w:tcW w:w="962"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《中华人民共和国精神卫生法》</w:t>
            </w:r>
          </w:p>
        </w:tc>
        <w:tc>
          <w:tcPr>
            <w:tcW w:w="940"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05"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18</w:t>
            </w:r>
          </w:p>
        </w:tc>
        <w:tc>
          <w:tcPr>
            <w:tcW w:w="47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对医疗机构放射诊疗管理工作的监管</w:t>
            </w:r>
          </w:p>
        </w:tc>
        <w:tc>
          <w:tcPr>
            <w:tcW w:w="73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kern w:val="0"/>
                <w:sz w:val="24"/>
                <w:szCs w:val="24"/>
              </w:rPr>
            </w:pPr>
            <w:r>
              <w:rPr>
                <w:rFonts w:hint="eastAsia" w:ascii="Times New Roman" w:hAnsi="Times New Roman" w:eastAsia="宋体" w:cs="宋体"/>
                <w:kern w:val="0"/>
                <w:sz w:val="24"/>
                <w:szCs w:val="24"/>
              </w:rPr>
              <w:t>医疗机构放射诊疗管理工作的监督检查</w:t>
            </w:r>
          </w:p>
        </w:tc>
        <w:tc>
          <w:tcPr>
            <w:tcW w:w="44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放射诊疗机构及放射工作人员</w:t>
            </w:r>
          </w:p>
        </w:tc>
        <w:tc>
          <w:tcPr>
            <w:tcW w:w="398"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2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w:t>
            </w:r>
          </w:p>
        </w:tc>
        <w:tc>
          <w:tcPr>
            <w:tcW w:w="514"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县级以上卫生健康部门</w:t>
            </w:r>
          </w:p>
        </w:tc>
        <w:tc>
          <w:tcPr>
            <w:tcW w:w="9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《中华人民共和国职业病防治法》、《放射性同位素与射线装置安全和防护条例》、《放射诊疗管理规定》</w:t>
            </w:r>
          </w:p>
        </w:tc>
        <w:tc>
          <w:tcPr>
            <w:tcW w:w="940"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05"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19</w:t>
            </w:r>
          </w:p>
        </w:tc>
        <w:tc>
          <w:tcPr>
            <w:tcW w:w="470"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对采供血机构的监管</w:t>
            </w:r>
          </w:p>
        </w:tc>
        <w:tc>
          <w:tcPr>
            <w:tcW w:w="73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kern w:val="0"/>
                <w:sz w:val="24"/>
                <w:szCs w:val="24"/>
              </w:rPr>
            </w:pPr>
            <w:r>
              <w:rPr>
                <w:rFonts w:hint="eastAsia" w:ascii="Times New Roman" w:hAnsi="Times New Roman" w:eastAsia="宋体" w:cs="宋体"/>
                <w:kern w:val="0"/>
                <w:sz w:val="24"/>
                <w:szCs w:val="24"/>
              </w:rPr>
              <w:t>采供血机构的卫生监督检查</w:t>
            </w:r>
          </w:p>
        </w:tc>
        <w:tc>
          <w:tcPr>
            <w:tcW w:w="448"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采供血机构及人员</w:t>
            </w:r>
          </w:p>
        </w:tc>
        <w:tc>
          <w:tcPr>
            <w:tcW w:w="398"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重点检查事项</w:t>
            </w:r>
          </w:p>
        </w:tc>
        <w:tc>
          <w:tcPr>
            <w:tcW w:w="425"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w:t>
            </w:r>
          </w:p>
        </w:tc>
        <w:tc>
          <w:tcPr>
            <w:tcW w:w="514"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县级以上卫生健康部门</w:t>
            </w:r>
          </w:p>
        </w:tc>
        <w:tc>
          <w:tcPr>
            <w:tcW w:w="9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《中华人民共和国献血法》、《血站管理办法》、《单采血浆站管理办法》</w:t>
            </w:r>
          </w:p>
        </w:tc>
        <w:tc>
          <w:tcPr>
            <w:tcW w:w="940"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05"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20</w:t>
            </w:r>
          </w:p>
        </w:tc>
        <w:tc>
          <w:tcPr>
            <w:tcW w:w="47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对医疗机构临床使用境外来源的人体血液的监管</w:t>
            </w:r>
          </w:p>
        </w:tc>
        <w:tc>
          <w:tcPr>
            <w:tcW w:w="73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医疗机构临床使用境外来源血液的监督检查</w:t>
            </w:r>
          </w:p>
        </w:tc>
        <w:tc>
          <w:tcPr>
            <w:tcW w:w="44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医疗机构及医务人员</w:t>
            </w:r>
          </w:p>
        </w:tc>
        <w:tc>
          <w:tcPr>
            <w:tcW w:w="398"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2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w:t>
            </w:r>
          </w:p>
        </w:tc>
        <w:tc>
          <w:tcPr>
            <w:tcW w:w="514"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县级以上卫生健康部门</w:t>
            </w:r>
          </w:p>
        </w:tc>
        <w:tc>
          <w:tcPr>
            <w:tcW w:w="962"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《中华人民共和国献血法》</w:t>
            </w:r>
          </w:p>
        </w:tc>
        <w:tc>
          <w:tcPr>
            <w:tcW w:w="940"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05"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21</w:t>
            </w:r>
          </w:p>
        </w:tc>
        <w:tc>
          <w:tcPr>
            <w:tcW w:w="47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对突发公共卫生事件应急处理中医疗机构的监管</w:t>
            </w:r>
          </w:p>
        </w:tc>
        <w:tc>
          <w:tcPr>
            <w:tcW w:w="73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突发事件应急处理中医疗机构的监督检查</w:t>
            </w:r>
          </w:p>
        </w:tc>
        <w:tc>
          <w:tcPr>
            <w:tcW w:w="448"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医疗卫生机构</w:t>
            </w:r>
          </w:p>
        </w:tc>
        <w:tc>
          <w:tcPr>
            <w:tcW w:w="398"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2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w:t>
            </w:r>
          </w:p>
        </w:tc>
        <w:tc>
          <w:tcPr>
            <w:tcW w:w="514"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县级以上卫生健康部门</w:t>
            </w:r>
          </w:p>
        </w:tc>
        <w:tc>
          <w:tcPr>
            <w:tcW w:w="962"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《突发公共卫生事件应急条例》</w:t>
            </w:r>
          </w:p>
        </w:tc>
        <w:tc>
          <w:tcPr>
            <w:tcW w:w="940"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05"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22</w:t>
            </w:r>
          </w:p>
        </w:tc>
        <w:tc>
          <w:tcPr>
            <w:tcW w:w="47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对人感染病原微生物实验运输活动监管</w:t>
            </w:r>
          </w:p>
        </w:tc>
        <w:tc>
          <w:tcPr>
            <w:tcW w:w="73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kern w:val="0"/>
                <w:sz w:val="24"/>
                <w:szCs w:val="24"/>
              </w:rPr>
            </w:pPr>
            <w:r>
              <w:rPr>
                <w:rFonts w:hint="eastAsia" w:ascii="Times New Roman" w:hAnsi="Times New Roman" w:eastAsia="宋体" w:cs="宋体"/>
                <w:kern w:val="0"/>
                <w:sz w:val="24"/>
                <w:szCs w:val="24"/>
              </w:rPr>
              <w:t>高致病性病原微生物或疑似高致病性病原微生物实验的行政检查</w:t>
            </w:r>
          </w:p>
        </w:tc>
        <w:tc>
          <w:tcPr>
            <w:tcW w:w="44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医疗机构病原微生物实验室</w:t>
            </w:r>
          </w:p>
        </w:tc>
        <w:tc>
          <w:tcPr>
            <w:tcW w:w="398"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2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w:t>
            </w:r>
          </w:p>
        </w:tc>
        <w:tc>
          <w:tcPr>
            <w:tcW w:w="514"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县级以上卫生健康部门</w:t>
            </w:r>
          </w:p>
        </w:tc>
        <w:tc>
          <w:tcPr>
            <w:tcW w:w="9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《中华人民共和国传染病防治法》、《病原微生物实验室生物安全管理条例》</w:t>
            </w:r>
          </w:p>
        </w:tc>
        <w:tc>
          <w:tcPr>
            <w:tcW w:w="94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05"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23</w:t>
            </w:r>
          </w:p>
        </w:tc>
        <w:tc>
          <w:tcPr>
            <w:tcW w:w="470"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对医疗技术临床应用的监管</w:t>
            </w:r>
          </w:p>
        </w:tc>
        <w:tc>
          <w:tcPr>
            <w:tcW w:w="73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医疗技术临床应用的监督检查</w:t>
            </w:r>
          </w:p>
        </w:tc>
        <w:tc>
          <w:tcPr>
            <w:tcW w:w="448"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医疗卫生机构</w:t>
            </w:r>
          </w:p>
        </w:tc>
        <w:tc>
          <w:tcPr>
            <w:tcW w:w="398"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2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w:t>
            </w:r>
          </w:p>
        </w:tc>
        <w:tc>
          <w:tcPr>
            <w:tcW w:w="514"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县级以上卫生健康部门</w:t>
            </w:r>
          </w:p>
        </w:tc>
        <w:tc>
          <w:tcPr>
            <w:tcW w:w="9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《医疗纠纷预防和处理条例》、《医疗技术临床应用管理办法》、《医疗美容服务管理办法》</w:t>
            </w:r>
          </w:p>
        </w:tc>
        <w:tc>
          <w:tcPr>
            <w:tcW w:w="94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05"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24</w:t>
            </w:r>
          </w:p>
        </w:tc>
        <w:tc>
          <w:tcPr>
            <w:tcW w:w="47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对涉及人的生物医学研究伦理工作的监管</w:t>
            </w:r>
          </w:p>
        </w:tc>
        <w:tc>
          <w:tcPr>
            <w:tcW w:w="73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医疗卫生机构涉及人的生物医学研究伦理工作的监督检查</w:t>
            </w:r>
          </w:p>
        </w:tc>
        <w:tc>
          <w:tcPr>
            <w:tcW w:w="44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医疗卫生机构及其伦理委员、项目研究者</w:t>
            </w:r>
          </w:p>
        </w:tc>
        <w:tc>
          <w:tcPr>
            <w:tcW w:w="398"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2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w:t>
            </w:r>
          </w:p>
        </w:tc>
        <w:tc>
          <w:tcPr>
            <w:tcW w:w="514"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县级以上卫生健康部门</w:t>
            </w:r>
          </w:p>
        </w:tc>
        <w:tc>
          <w:tcPr>
            <w:tcW w:w="9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《涉及人的生物医学研究伦理审查办法》</w:t>
            </w:r>
          </w:p>
        </w:tc>
        <w:tc>
          <w:tcPr>
            <w:tcW w:w="940"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05"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25</w:t>
            </w:r>
          </w:p>
        </w:tc>
        <w:tc>
          <w:tcPr>
            <w:tcW w:w="47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对麻醉药品和第一类精神药品的监管</w:t>
            </w:r>
          </w:p>
        </w:tc>
        <w:tc>
          <w:tcPr>
            <w:tcW w:w="73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麻醉药品和第一类精神药品的监督检查</w:t>
            </w:r>
          </w:p>
        </w:tc>
        <w:tc>
          <w:tcPr>
            <w:tcW w:w="448"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医疗卫生机构</w:t>
            </w:r>
          </w:p>
        </w:tc>
        <w:tc>
          <w:tcPr>
            <w:tcW w:w="398"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重点检查事项</w:t>
            </w:r>
          </w:p>
        </w:tc>
        <w:tc>
          <w:tcPr>
            <w:tcW w:w="42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w:t>
            </w:r>
          </w:p>
        </w:tc>
        <w:tc>
          <w:tcPr>
            <w:tcW w:w="514"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县级以上卫生健康部门</w:t>
            </w:r>
          </w:p>
        </w:tc>
        <w:tc>
          <w:tcPr>
            <w:tcW w:w="9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《麻醉药品和精神药品管理条例》、《处方管理办法》</w:t>
            </w:r>
          </w:p>
        </w:tc>
        <w:tc>
          <w:tcPr>
            <w:tcW w:w="940"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1265" w:hRule="atLeast"/>
        </w:trPr>
        <w:tc>
          <w:tcPr>
            <w:tcW w:w="105"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26</w:t>
            </w:r>
          </w:p>
        </w:tc>
        <w:tc>
          <w:tcPr>
            <w:tcW w:w="47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对医疗机构抗菌药物临床应用的监管</w:t>
            </w:r>
          </w:p>
        </w:tc>
        <w:tc>
          <w:tcPr>
            <w:tcW w:w="73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医疗机构抗菌药物临床应用的监督检查</w:t>
            </w:r>
          </w:p>
        </w:tc>
        <w:tc>
          <w:tcPr>
            <w:tcW w:w="44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医疗卫生机构及其工作人员</w:t>
            </w:r>
          </w:p>
        </w:tc>
        <w:tc>
          <w:tcPr>
            <w:tcW w:w="398"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2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w:t>
            </w:r>
          </w:p>
        </w:tc>
        <w:tc>
          <w:tcPr>
            <w:tcW w:w="514"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县级以上卫生健康部门</w:t>
            </w:r>
          </w:p>
        </w:tc>
        <w:tc>
          <w:tcPr>
            <w:tcW w:w="962"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《抗菌药物临床应用管理办法》</w:t>
            </w:r>
          </w:p>
        </w:tc>
        <w:tc>
          <w:tcPr>
            <w:tcW w:w="940"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05"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27</w:t>
            </w:r>
          </w:p>
        </w:tc>
        <w:tc>
          <w:tcPr>
            <w:tcW w:w="470"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对医疗器械使用的监管</w:t>
            </w:r>
          </w:p>
        </w:tc>
        <w:tc>
          <w:tcPr>
            <w:tcW w:w="735"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kern w:val="0"/>
                <w:sz w:val="24"/>
                <w:szCs w:val="24"/>
              </w:rPr>
            </w:pPr>
            <w:r>
              <w:rPr>
                <w:rFonts w:hint="eastAsia" w:ascii="Times New Roman" w:hAnsi="Times New Roman" w:eastAsia="宋体" w:cs="宋体"/>
                <w:kern w:val="0"/>
                <w:sz w:val="24"/>
                <w:szCs w:val="24"/>
              </w:rPr>
              <w:t>医疗器械使用的行政检查</w:t>
            </w:r>
          </w:p>
        </w:tc>
        <w:tc>
          <w:tcPr>
            <w:tcW w:w="448"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医疗卫生机构</w:t>
            </w:r>
          </w:p>
        </w:tc>
        <w:tc>
          <w:tcPr>
            <w:tcW w:w="398"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2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w:t>
            </w:r>
          </w:p>
        </w:tc>
        <w:tc>
          <w:tcPr>
            <w:tcW w:w="514"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县级以上卫生健康部门</w:t>
            </w:r>
          </w:p>
        </w:tc>
        <w:tc>
          <w:tcPr>
            <w:tcW w:w="9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《医疗器械监督管理条例》、《大型医用设备配置与使用管理办法（试行）》</w:t>
            </w:r>
          </w:p>
        </w:tc>
        <w:tc>
          <w:tcPr>
            <w:tcW w:w="94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05"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28</w:t>
            </w:r>
          </w:p>
        </w:tc>
        <w:tc>
          <w:tcPr>
            <w:tcW w:w="470"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对戒毒医疗机构的监管</w:t>
            </w:r>
          </w:p>
        </w:tc>
        <w:tc>
          <w:tcPr>
            <w:tcW w:w="735"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戒毒医疗机构的监督检查</w:t>
            </w:r>
          </w:p>
        </w:tc>
        <w:tc>
          <w:tcPr>
            <w:tcW w:w="448"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医疗机构</w:t>
            </w:r>
          </w:p>
        </w:tc>
        <w:tc>
          <w:tcPr>
            <w:tcW w:w="398"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2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w:t>
            </w:r>
          </w:p>
        </w:tc>
        <w:tc>
          <w:tcPr>
            <w:tcW w:w="514"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县级以上卫生健康部门</w:t>
            </w:r>
          </w:p>
        </w:tc>
        <w:tc>
          <w:tcPr>
            <w:tcW w:w="9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《中华人民共和国禁毒法》、《戒毒条例》、《戒毒医疗服务管理暂行办法》</w:t>
            </w:r>
          </w:p>
        </w:tc>
        <w:tc>
          <w:tcPr>
            <w:tcW w:w="94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05"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29</w:t>
            </w:r>
          </w:p>
        </w:tc>
        <w:tc>
          <w:tcPr>
            <w:tcW w:w="47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对职业病诊断、鉴定、报告工作的监管</w:t>
            </w:r>
          </w:p>
        </w:tc>
        <w:tc>
          <w:tcPr>
            <w:tcW w:w="73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职业病诊断、鉴定、报告工作的监督检查</w:t>
            </w:r>
          </w:p>
        </w:tc>
        <w:tc>
          <w:tcPr>
            <w:tcW w:w="44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用人单位、职业病诊断、鉴定机构</w:t>
            </w:r>
          </w:p>
        </w:tc>
        <w:tc>
          <w:tcPr>
            <w:tcW w:w="398"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2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w:t>
            </w:r>
          </w:p>
        </w:tc>
        <w:tc>
          <w:tcPr>
            <w:tcW w:w="514"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县级以上卫生健康部门</w:t>
            </w:r>
          </w:p>
        </w:tc>
        <w:tc>
          <w:tcPr>
            <w:tcW w:w="9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《中华人民共和国职业病防治法》、《职业病诊断与鉴定管理办法》</w:t>
            </w:r>
          </w:p>
        </w:tc>
        <w:tc>
          <w:tcPr>
            <w:tcW w:w="94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05"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30</w:t>
            </w:r>
          </w:p>
        </w:tc>
        <w:tc>
          <w:tcPr>
            <w:tcW w:w="470"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对职业健康检查机构的监管</w:t>
            </w:r>
          </w:p>
        </w:tc>
        <w:tc>
          <w:tcPr>
            <w:tcW w:w="73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职业健康检查机构的监督检查</w:t>
            </w:r>
          </w:p>
        </w:tc>
        <w:tc>
          <w:tcPr>
            <w:tcW w:w="448"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医疗卫生机构</w:t>
            </w:r>
          </w:p>
        </w:tc>
        <w:tc>
          <w:tcPr>
            <w:tcW w:w="398"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2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w:t>
            </w:r>
          </w:p>
        </w:tc>
        <w:tc>
          <w:tcPr>
            <w:tcW w:w="514"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县级以上卫生健康部门</w:t>
            </w:r>
          </w:p>
        </w:tc>
        <w:tc>
          <w:tcPr>
            <w:tcW w:w="9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《中华人民共和国职业病防治法》、《职业健康检查管理办法》</w:t>
            </w:r>
          </w:p>
        </w:tc>
        <w:tc>
          <w:tcPr>
            <w:tcW w:w="940"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05"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31</w:t>
            </w:r>
          </w:p>
        </w:tc>
        <w:tc>
          <w:tcPr>
            <w:tcW w:w="47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对职业病危害场所、单位和建设项目的监管</w:t>
            </w:r>
          </w:p>
        </w:tc>
        <w:tc>
          <w:tcPr>
            <w:tcW w:w="73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职业病危害场所、单位和项目的行政检查</w:t>
            </w:r>
          </w:p>
        </w:tc>
        <w:tc>
          <w:tcPr>
            <w:tcW w:w="44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存在职业病危害的企事业单位</w:t>
            </w:r>
          </w:p>
        </w:tc>
        <w:tc>
          <w:tcPr>
            <w:tcW w:w="398"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2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w:t>
            </w:r>
          </w:p>
        </w:tc>
        <w:tc>
          <w:tcPr>
            <w:tcW w:w="514"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县级以上卫生健康部门</w:t>
            </w:r>
          </w:p>
        </w:tc>
        <w:tc>
          <w:tcPr>
            <w:tcW w:w="9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中华人民共和国职业病防治法》、《放射性同位素与射线装置安全和防护条例》、《放射诊疗管理规定》、《建设项目职业病防护设施“三同时”监督管理办法》、《使用有毒物品作业场所劳动保护条例》、《尘肺病防治条例》、《职业健康检查管理办法》</w:t>
            </w:r>
          </w:p>
        </w:tc>
        <w:tc>
          <w:tcPr>
            <w:tcW w:w="940"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05"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32</w:t>
            </w:r>
          </w:p>
        </w:tc>
        <w:tc>
          <w:tcPr>
            <w:tcW w:w="47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对具备使用有毒物品、粉尘超标等易导致职业病因素的作业场所的监管</w:t>
            </w:r>
          </w:p>
        </w:tc>
        <w:tc>
          <w:tcPr>
            <w:tcW w:w="73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具备使用有毒物品、粉尘超标等易导致职业病因素的作业场所的行政检查</w:t>
            </w:r>
          </w:p>
        </w:tc>
        <w:tc>
          <w:tcPr>
            <w:tcW w:w="44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存在职业病危害的企事业单位</w:t>
            </w:r>
          </w:p>
        </w:tc>
        <w:tc>
          <w:tcPr>
            <w:tcW w:w="398"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2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w:t>
            </w:r>
          </w:p>
        </w:tc>
        <w:tc>
          <w:tcPr>
            <w:tcW w:w="514"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县级以上卫生健康部门</w:t>
            </w:r>
          </w:p>
        </w:tc>
        <w:tc>
          <w:tcPr>
            <w:tcW w:w="9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《中华人民共和国职业病防治法》、《使用有毒物品作业场所劳动保护条例》、《尘肺病防治条例》、《职业健康检查管理办法》</w:t>
            </w:r>
          </w:p>
        </w:tc>
        <w:tc>
          <w:tcPr>
            <w:tcW w:w="94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05"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33</w:t>
            </w:r>
          </w:p>
        </w:tc>
        <w:tc>
          <w:tcPr>
            <w:tcW w:w="47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对女职工劳动保护的监管</w:t>
            </w:r>
          </w:p>
        </w:tc>
        <w:tc>
          <w:tcPr>
            <w:tcW w:w="73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女职工劳动保护的监督检查</w:t>
            </w:r>
          </w:p>
        </w:tc>
        <w:tc>
          <w:tcPr>
            <w:tcW w:w="44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存在职业病危害的企事业单位</w:t>
            </w:r>
          </w:p>
        </w:tc>
        <w:tc>
          <w:tcPr>
            <w:tcW w:w="398"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2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w:t>
            </w:r>
          </w:p>
        </w:tc>
        <w:tc>
          <w:tcPr>
            <w:tcW w:w="514"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县级以上卫生健康部门</w:t>
            </w:r>
          </w:p>
        </w:tc>
        <w:tc>
          <w:tcPr>
            <w:tcW w:w="9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《女职工劳动保护特别规定》</w:t>
            </w:r>
          </w:p>
        </w:tc>
        <w:tc>
          <w:tcPr>
            <w:tcW w:w="940"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05"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34</w:t>
            </w:r>
          </w:p>
        </w:tc>
        <w:tc>
          <w:tcPr>
            <w:tcW w:w="47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对职业卫生技术服务机构（医用放射技术服务机构）的监管</w:t>
            </w:r>
          </w:p>
        </w:tc>
        <w:tc>
          <w:tcPr>
            <w:tcW w:w="73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职业卫生技术服务机构（含医用放射技术服务机构）的监督检查</w:t>
            </w:r>
          </w:p>
        </w:tc>
        <w:tc>
          <w:tcPr>
            <w:tcW w:w="44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职业卫生技术服务机构及职业卫生专职技术人员</w:t>
            </w:r>
          </w:p>
        </w:tc>
        <w:tc>
          <w:tcPr>
            <w:tcW w:w="398"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2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w:t>
            </w:r>
          </w:p>
        </w:tc>
        <w:tc>
          <w:tcPr>
            <w:tcW w:w="514"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县级以上卫生健康部门</w:t>
            </w:r>
          </w:p>
        </w:tc>
        <w:tc>
          <w:tcPr>
            <w:tcW w:w="962"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《中华人民共和国职业病防治法》、《放射卫生技术服务机构管理办法》</w:t>
            </w:r>
          </w:p>
        </w:tc>
        <w:tc>
          <w:tcPr>
            <w:tcW w:w="940" w:type="pct"/>
            <w:tcBorders>
              <w:top w:val="single" w:color="auto" w:sz="4" w:space="0"/>
              <w:left w:val="nil"/>
              <w:bottom w:val="single" w:color="auto" w:sz="4" w:space="0"/>
              <w:right w:val="single" w:color="auto" w:sz="4" w:space="0"/>
            </w:tcBorders>
            <w:shd w:val="clear" w:color="auto" w:fill="auto"/>
            <w:vAlign w:val="center"/>
          </w:tcPr>
          <w:p>
            <w:pPr>
              <w:widowControl/>
              <w:spacing w:line="28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r>
        <w:tblPrEx>
          <w:tblCellMar>
            <w:top w:w="17" w:type="dxa"/>
            <w:left w:w="17" w:type="dxa"/>
            <w:bottom w:w="17" w:type="dxa"/>
            <w:right w:w="17" w:type="dxa"/>
          </w:tblCellMar>
        </w:tblPrEx>
        <w:trPr>
          <w:trHeight w:val="454" w:hRule="atLeast"/>
        </w:trPr>
        <w:tc>
          <w:tcPr>
            <w:tcW w:w="105"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35</w:t>
            </w:r>
          </w:p>
        </w:tc>
        <w:tc>
          <w:tcPr>
            <w:tcW w:w="470"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对残疾预防、康复工作的监管</w:t>
            </w:r>
          </w:p>
        </w:tc>
        <w:tc>
          <w:tcPr>
            <w:tcW w:w="73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按职责分工的残疾预防和残疾人康复工作的行政检查</w:t>
            </w:r>
          </w:p>
        </w:tc>
        <w:tc>
          <w:tcPr>
            <w:tcW w:w="448"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具有高度致残风险的用人单位、医疗卫生机构、康复机构及其工作人员</w:t>
            </w:r>
          </w:p>
        </w:tc>
        <w:tc>
          <w:tcPr>
            <w:tcW w:w="398"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一般检查事项</w:t>
            </w:r>
          </w:p>
        </w:tc>
        <w:tc>
          <w:tcPr>
            <w:tcW w:w="425" w:type="pct"/>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现场检查</w:t>
            </w:r>
          </w:p>
        </w:tc>
        <w:tc>
          <w:tcPr>
            <w:tcW w:w="514"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县级以上卫生健康部门</w:t>
            </w:r>
          </w:p>
        </w:tc>
        <w:tc>
          <w:tcPr>
            <w:tcW w:w="962"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left"/>
              <w:rPr>
                <w:rFonts w:ascii="Times New Roman" w:hAnsi="Times New Roman" w:eastAsia="宋体" w:cs="宋体"/>
                <w:color w:val="000000"/>
                <w:kern w:val="0"/>
                <w:sz w:val="24"/>
                <w:szCs w:val="24"/>
              </w:rPr>
            </w:pPr>
            <w:r>
              <w:rPr>
                <w:rFonts w:hint="eastAsia" w:ascii="Times New Roman" w:hAnsi="Times New Roman" w:eastAsia="宋体" w:cs="宋体"/>
                <w:color w:val="000000"/>
                <w:kern w:val="0"/>
                <w:sz w:val="24"/>
                <w:szCs w:val="24"/>
              </w:rPr>
              <w:t>《残疾预防和残疾人康复条例》</w:t>
            </w:r>
          </w:p>
        </w:tc>
        <w:tc>
          <w:tcPr>
            <w:tcW w:w="940" w:type="pct"/>
            <w:tcBorders>
              <w:top w:val="single" w:color="auto" w:sz="4" w:space="0"/>
              <w:left w:val="nil"/>
              <w:bottom w:val="single" w:color="auto" w:sz="4" w:space="0"/>
              <w:right w:val="single" w:color="auto" w:sz="4" w:space="0"/>
            </w:tcBorders>
            <w:shd w:val="clear" w:color="auto" w:fill="auto"/>
            <w:noWrap/>
            <w:vAlign w:val="center"/>
          </w:tcPr>
          <w:p>
            <w:pPr>
              <w:widowControl/>
              <w:spacing w:line="300" w:lineRule="exact"/>
              <w:jc w:val="center"/>
              <w:rPr>
                <w:rFonts w:hint="eastAsia" w:ascii="Times New Roman" w:hAnsi="Times New Roman" w:eastAsia="宋体" w:cs="宋体"/>
                <w:color w:val="000000"/>
                <w:kern w:val="0"/>
                <w:sz w:val="24"/>
                <w:szCs w:val="24"/>
                <w:lang w:val="en-US" w:eastAsia="zh-CN" w:bidi="ar-SA"/>
              </w:rPr>
            </w:pPr>
            <w:r>
              <w:rPr>
                <w:rFonts w:hint="eastAsia" w:ascii="Times New Roman" w:hAnsi="Times New Roman" w:eastAsia="宋体" w:cs="宋体"/>
                <w:color w:val="000000"/>
                <w:kern w:val="0"/>
                <w:sz w:val="24"/>
                <w:szCs w:val="24"/>
              </w:rPr>
              <w:t>根据触发条件开展检查</w:t>
            </w:r>
          </w:p>
        </w:tc>
      </w:tr>
    </w:tbl>
    <w:p>
      <w:pPr>
        <w:pStyle w:val="2"/>
        <w:spacing w:before="0" w:beforeLines="0"/>
        <w:rPr>
          <w:rFonts w:ascii="Times New Roman" w:hAnsi="Times New Roman"/>
        </w:rPr>
      </w:pPr>
    </w:p>
    <w:p>
      <w:pPr>
        <w:widowControl/>
        <w:jc w:val="left"/>
        <w:rPr>
          <w:rFonts w:ascii="Times New Roman" w:hAnsi="Times New Roman"/>
        </w:rPr>
      </w:pPr>
    </w:p>
    <w:sectPr>
      <w:type w:val="continuous"/>
      <w:pgSz w:w="16838" w:h="11906" w:orient="landscape"/>
      <w:pgMar w:top="1588" w:right="1701" w:bottom="1474" w:left="1701"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E5YmIzOGZkNTNiZWJlODM2ZjVkZWRmNTY3YjJlMzUifQ=="/>
  </w:docVars>
  <w:rsids>
    <w:rsidRoot w:val="0099262C"/>
    <w:rsid w:val="00052AED"/>
    <w:rsid w:val="00076345"/>
    <w:rsid w:val="000D44FB"/>
    <w:rsid w:val="000E271F"/>
    <w:rsid w:val="00107E0D"/>
    <w:rsid w:val="00162D8A"/>
    <w:rsid w:val="00186EF1"/>
    <w:rsid w:val="00194183"/>
    <w:rsid w:val="00224518"/>
    <w:rsid w:val="00225BF0"/>
    <w:rsid w:val="00260927"/>
    <w:rsid w:val="00284980"/>
    <w:rsid w:val="00292C4A"/>
    <w:rsid w:val="002B60AA"/>
    <w:rsid w:val="00310D02"/>
    <w:rsid w:val="00322EF4"/>
    <w:rsid w:val="003446C8"/>
    <w:rsid w:val="00361553"/>
    <w:rsid w:val="00365E27"/>
    <w:rsid w:val="00371A86"/>
    <w:rsid w:val="003D1221"/>
    <w:rsid w:val="00415AAA"/>
    <w:rsid w:val="00421A0A"/>
    <w:rsid w:val="00440A7C"/>
    <w:rsid w:val="00472BC0"/>
    <w:rsid w:val="004C370F"/>
    <w:rsid w:val="005001C2"/>
    <w:rsid w:val="00505967"/>
    <w:rsid w:val="00506E29"/>
    <w:rsid w:val="0051320C"/>
    <w:rsid w:val="005267D0"/>
    <w:rsid w:val="005411B6"/>
    <w:rsid w:val="005419E6"/>
    <w:rsid w:val="00571A19"/>
    <w:rsid w:val="00583D33"/>
    <w:rsid w:val="00591E64"/>
    <w:rsid w:val="00624AE1"/>
    <w:rsid w:val="006673BC"/>
    <w:rsid w:val="00701B8D"/>
    <w:rsid w:val="00703DB1"/>
    <w:rsid w:val="007229F8"/>
    <w:rsid w:val="00796A32"/>
    <w:rsid w:val="007A143A"/>
    <w:rsid w:val="007E1E08"/>
    <w:rsid w:val="00840FC5"/>
    <w:rsid w:val="00881E6A"/>
    <w:rsid w:val="00890904"/>
    <w:rsid w:val="00893B6E"/>
    <w:rsid w:val="008F60AB"/>
    <w:rsid w:val="00947D8A"/>
    <w:rsid w:val="00987831"/>
    <w:rsid w:val="0099262C"/>
    <w:rsid w:val="00992A86"/>
    <w:rsid w:val="009B0ACF"/>
    <w:rsid w:val="00A94D0C"/>
    <w:rsid w:val="00AB1711"/>
    <w:rsid w:val="00AB3FEB"/>
    <w:rsid w:val="00AD0B0C"/>
    <w:rsid w:val="00B27FB7"/>
    <w:rsid w:val="00B70426"/>
    <w:rsid w:val="00B92EB5"/>
    <w:rsid w:val="00B95471"/>
    <w:rsid w:val="00BC11C4"/>
    <w:rsid w:val="00BD006C"/>
    <w:rsid w:val="00BD07E7"/>
    <w:rsid w:val="00C0039E"/>
    <w:rsid w:val="00C26D79"/>
    <w:rsid w:val="00C274A7"/>
    <w:rsid w:val="00C61407"/>
    <w:rsid w:val="00CA7170"/>
    <w:rsid w:val="00D15732"/>
    <w:rsid w:val="00D57BA7"/>
    <w:rsid w:val="00D95632"/>
    <w:rsid w:val="00DB1C6A"/>
    <w:rsid w:val="00DC64C7"/>
    <w:rsid w:val="00DE43E4"/>
    <w:rsid w:val="00DF6E53"/>
    <w:rsid w:val="00E3324D"/>
    <w:rsid w:val="00E9306A"/>
    <w:rsid w:val="00EC6EF9"/>
    <w:rsid w:val="00EE530E"/>
    <w:rsid w:val="00F13EFA"/>
    <w:rsid w:val="00F16978"/>
    <w:rsid w:val="00F6046E"/>
    <w:rsid w:val="00FC2B5C"/>
    <w:rsid w:val="00FC5CC8"/>
    <w:rsid w:val="00FE12BD"/>
    <w:rsid w:val="0B214405"/>
    <w:rsid w:val="1BCC4982"/>
    <w:rsid w:val="1C3F67B0"/>
    <w:rsid w:val="2B567744"/>
    <w:rsid w:val="3F6553EE"/>
    <w:rsid w:val="55F03F1F"/>
    <w:rsid w:val="56573B8F"/>
    <w:rsid w:val="60034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5"/>
    <w:qFormat/>
    <w:uiPriority w:val="9"/>
    <w:pPr>
      <w:widowControl/>
      <w:spacing w:before="156" w:beforeLines="50" w:after="156" w:afterLines="50" w:line="600" w:lineRule="exact"/>
      <w:jc w:val="center"/>
      <w:outlineLvl w:val="0"/>
    </w:pPr>
    <w:rPr>
      <w:rFonts w:ascii="方正小标宋简体" w:hAnsi="方正小标宋简体" w:eastAsia="方正小标宋简体" w:cs="宋体"/>
      <w:kern w:val="0"/>
      <w:sz w:val="44"/>
      <w:szCs w:val="44"/>
    </w:rPr>
  </w:style>
  <w:style w:type="character" w:default="1" w:styleId="4">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customStyle="1" w:styleId="5">
    <w:name w:val="标题 1 Char"/>
    <w:basedOn w:val="4"/>
    <w:link w:val="2"/>
    <w:qFormat/>
    <w:uiPriority w:val="9"/>
    <w:rPr>
      <w:rFonts w:ascii="方正小标宋简体" w:hAnsi="方正小标宋简体" w:eastAsia="方正小标宋简体" w:cs="宋体"/>
      <w:sz w:val="44"/>
      <w:szCs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7"/>
    <customShpInfo spid="_x0000_s1028"/>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4252</Words>
  <Characters>4298</Characters>
  <Lines>9</Lines>
  <Paragraphs>2</Paragraphs>
  <TotalTime>0</TotalTime>
  <ScaleCrop>false</ScaleCrop>
  <LinksUpToDate>false</LinksUpToDate>
  <CharactersWithSpaces>4302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2022-12-02T02:34:00Z</dcterms:created>
  <dc:creator>abc</dc:creator>
  <cp:lastModifiedBy>abc</cp:lastModifiedBy>
  <dcterms:modified xsi:type="dcterms:W3CDTF">2023-07-17T08:26:36Z</dcterms:modified>
  <cp:revision>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A23EDC6E746C4BD1BCAC994653FC24D3</vt:lpwstr>
  </property>
</Properties>
</file>