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szCs w:val="44"/>
        </w:rPr>
      </w:pPr>
    </w:p>
    <w:p>
      <w:pPr>
        <w:jc w:val="center"/>
        <w:rPr>
          <w:b/>
          <w:sz w:val="44"/>
          <w:szCs w:val="44"/>
        </w:rPr>
      </w:pPr>
      <w:r>
        <w:rPr>
          <w:b/>
          <w:sz w:val="44"/>
          <w:szCs w:val="44"/>
        </w:rPr>
        <w:pict>
          <v:group id="_x0000_s1026" o:spid="_x0000_s1026" o:spt="203" style="position:absolute;left:0pt;margin-left:2.7pt;margin-top:29.95pt;height:141.1pt;width:459pt;z-index:251659264;mso-width-relative:page;mso-height-relative:page;" coordorigin="1420,4736" coordsize="9180,2822">
            <o:lock v:ext="edit" aspectratio="f"/>
            <v:line id="_x0000_s1027" o:spid="_x0000_s1027" o:spt="20" style="position:absolute;left:1420;top:7550;flip:y;height:8;width:9180;" filled="f" stroked="t" coordsize="21600,21600">
              <v:path arrowok="t"/>
              <v:fill on="f" focussize="0,0"/>
              <v:stroke weight="2.25pt" color="#FF0000"/>
              <v:imagedata o:title=""/>
              <o:lock v:ext="edit" aspectratio="f"/>
            </v:line>
            <v:shape id="_x0000_s1028" o:spid="_x0000_s1028" o:spt="136" alt="洛阳市市场监督管理局文件" type="#_x0000_t136" style="position:absolute;left:1690;top:4736;height:1275;width:8655;" fillcolor="#FF0000" filled="t" stroked="t" coordsize="21600,21600" adj="10800">
              <v:path/>
              <v:fill on="t" color2="#FFFFFF" focussize="0,0"/>
              <v:stroke color="#FF0000"/>
              <v:imagedata o:title=""/>
              <o:lock v:ext="edit" aspectratio="f"/>
              <v:textpath on="t" fitshape="t" fitpath="t" trim="t" xscale="f" string="洛阳市公安局文件" style="font-family:方正小标宋简体;font-size:36pt;v-text-align:center;"/>
            </v:shape>
          </v:group>
        </w:pict>
      </w:r>
    </w:p>
    <w:p>
      <w:pPr>
        <w:jc w:val="center"/>
        <w:rPr>
          <w:b/>
          <w:sz w:val="44"/>
          <w:szCs w:val="44"/>
        </w:rPr>
      </w:pPr>
    </w:p>
    <w:p>
      <w:pPr>
        <w:jc w:val="center"/>
        <w:rPr>
          <w:b/>
          <w:sz w:val="44"/>
          <w:szCs w:val="44"/>
        </w:rPr>
      </w:pPr>
    </w:p>
    <w:p>
      <w:pPr>
        <w:jc w:val="center"/>
        <w:rPr>
          <w:b/>
          <w:sz w:val="44"/>
          <w:szCs w:val="44"/>
        </w:rPr>
      </w:pPr>
    </w:p>
    <w:p>
      <w:pPr>
        <w:spacing w:line="600" w:lineRule="exact"/>
        <w:jc w:val="center"/>
        <w:rPr>
          <w:rFonts w:ascii="仿宋_GB2312" w:eastAsia="仿宋_GB2312"/>
          <w:sz w:val="32"/>
          <w:szCs w:val="32"/>
        </w:rPr>
      </w:pPr>
      <w:r>
        <w:rPr>
          <w:rFonts w:hint="eastAsia" w:ascii="仿宋_GB2312" w:hAnsi="仿宋_GB2312" w:eastAsia="仿宋_GB2312" w:cs="仿宋_GB2312"/>
          <w:color w:val="000000"/>
          <w:sz w:val="32"/>
          <w:szCs w:val="32"/>
        </w:rPr>
        <w:t>洛</w:t>
      </w:r>
      <w:r>
        <w:rPr>
          <w:rFonts w:hint="eastAsia" w:ascii="仿宋_GB2312" w:hAnsi="仿宋_GB2312" w:eastAsia="仿宋_GB2312" w:cs="仿宋_GB2312"/>
          <w:color w:val="FF0000"/>
          <w:sz w:val="32"/>
          <w:szCs w:val="32"/>
        </w:rPr>
        <w:t>XX</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 xml:space="preserve">〕  号 </w:t>
      </w:r>
    </w:p>
    <w:p>
      <w:pPr>
        <w:jc w:val="center"/>
        <w:rPr>
          <w:b/>
          <w:sz w:val="44"/>
          <w:szCs w:val="44"/>
        </w:rPr>
      </w:pPr>
    </w:p>
    <w:p>
      <w:pPr>
        <w:jc w:val="center"/>
        <w:rPr>
          <w:b/>
          <w:sz w:val="44"/>
          <w:szCs w:val="44"/>
        </w:rPr>
      </w:pPr>
    </w:p>
    <w:p>
      <w:pPr>
        <w:jc w:val="center"/>
        <w:rPr>
          <w:b/>
          <w:sz w:val="44"/>
          <w:szCs w:val="44"/>
        </w:rPr>
      </w:pPr>
      <w:r>
        <w:rPr>
          <w:rFonts w:hint="eastAsia"/>
          <w:b/>
          <w:sz w:val="44"/>
          <w:szCs w:val="44"/>
        </w:rPr>
        <w:t>关于印发《202</w:t>
      </w:r>
      <w:r>
        <w:rPr>
          <w:rFonts w:hint="eastAsia"/>
          <w:b/>
          <w:sz w:val="44"/>
          <w:szCs w:val="44"/>
          <w:lang w:val="en-US" w:eastAsia="zh-CN"/>
        </w:rPr>
        <w:t>3</w:t>
      </w:r>
      <w:r>
        <w:rPr>
          <w:rFonts w:hint="eastAsia"/>
          <w:b/>
          <w:sz w:val="44"/>
          <w:szCs w:val="44"/>
        </w:rPr>
        <w:t>年触发式 “双随机、一公开”监管抽查计划》的通知</w:t>
      </w:r>
    </w:p>
    <w:p>
      <w:pPr>
        <w:rPr>
          <w:color w:val="FF0000"/>
          <w:sz w:val="32"/>
          <w:szCs w:val="32"/>
        </w:rPr>
      </w:pPr>
    </w:p>
    <w:p>
      <w:pPr>
        <w:rPr>
          <w:rFonts w:ascii="仿宋_GB2312" w:eastAsia="仿宋_GB2312"/>
          <w:sz w:val="32"/>
          <w:szCs w:val="32"/>
        </w:rPr>
      </w:pPr>
      <w:r>
        <w:rPr>
          <w:rFonts w:hint="eastAsia" w:ascii="仿宋_GB2312" w:eastAsia="仿宋_GB2312"/>
          <w:sz w:val="32"/>
          <w:szCs w:val="32"/>
        </w:rPr>
        <w:t>各有关单位：</w:t>
      </w:r>
    </w:p>
    <w:p>
      <w:pPr>
        <w:ind w:firstLine="640" w:firstLineChars="200"/>
        <w:jc w:val="left"/>
        <w:rPr>
          <w:rFonts w:ascii="仿宋_GB2312" w:eastAsia="仿宋_GB2312"/>
          <w:sz w:val="32"/>
          <w:szCs w:val="32"/>
        </w:rPr>
      </w:pPr>
      <w:r>
        <w:rPr>
          <w:rFonts w:hint="eastAsia" w:ascii="仿宋_GB2312" w:eastAsia="仿宋_GB2312"/>
          <w:sz w:val="32"/>
          <w:szCs w:val="32"/>
        </w:rPr>
        <w:t>现将洛阳市</w:t>
      </w:r>
      <w:r>
        <w:rPr>
          <w:rFonts w:hint="eastAsia" w:ascii="仿宋_GB2312" w:eastAsia="仿宋_GB2312"/>
          <w:sz w:val="32"/>
          <w:szCs w:val="32"/>
          <w:lang w:eastAsia="zh-CN"/>
        </w:rPr>
        <w:t>公安</w:t>
      </w:r>
      <w:r>
        <w:rPr>
          <w:rFonts w:hint="eastAsia" w:ascii="仿宋_GB2312" w:eastAsia="仿宋_GB2312"/>
          <w:sz w:val="32"/>
          <w:szCs w:val="32"/>
        </w:rPr>
        <w:t>局《202</w:t>
      </w:r>
      <w:r>
        <w:rPr>
          <w:rFonts w:hint="eastAsia" w:ascii="仿宋_GB2312" w:eastAsia="仿宋_GB2312"/>
          <w:sz w:val="32"/>
          <w:szCs w:val="32"/>
          <w:lang w:val="en-US" w:eastAsia="zh-CN"/>
        </w:rPr>
        <w:t>3</w:t>
      </w:r>
      <w:r>
        <w:rPr>
          <w:rFonts w:hint="eastAsia" w:ascii="仿宋_GB2312" w:eastAsia="仿宋_GB2312"/>
          <w:sz w:val="32"/>
          <w:szCs w:val="32"/>
        </w:rPr>
        <w:t>年触发式“双随机、一公开”监管抽查计划》印发给你们，请你们结合实际，认真做好“双随机、一公开”监管工作。</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r>
        <w:rPr>
          <w:rFonts w:hint="eastAsia" w:ascii="仿宋_GB2312" w:eastAsia="仿宋_GB2312"/>
          <w:sz w:val="32"/>
          <w:szCs w:val="32"/>
        </w:rPr>
        <w:t>附件：《</w:t>
      </w:r>
      <w:r>
        <w:rPr>
          <w:rFonts w:hint="eastAsia" w:ascii="仿宋_GB2312" w:eastAsia="仿宋_GB2312"/>
          <w:sz w:val="32"/>
          <w:szCs w:val="32"/>
          <w:lang w:val="en-US" w:eastAsia="zh-CN"/>
        </w:rPr>
        <w:t>2023年</w:t>
      </w:r>
      <w:r>
        <w:rPr>
          <w:rFonts w:hint="eastAsia" w:ascii="仿宋_GB2312" w:eastAsia="仿宋_GB2312"/>
          <w:sz w:val="32"/>
          <w:szCs w:val="32"/>
        </w:rPr>
        <w:t>触发式“双随机、一公开”监管抽查计划》</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5120" w:firstLineChars="1600"/>
        <w:rPr>
          <w:rFonts w:hint="eastAsia"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w:t>
      </w:r>
      <w:r>
        <w:rPr>
          <w:rFonts w:hint="eastAsia" w:ascii="仿宋_GB2312" w:eastAsia="仿宋_GB2312"/>
          <w:sz w:val="32"/>
          <w:szCs w:val="32"/>
          <w:lang w:val="en-US" w:eastAsia="zh-CN"/>
        </w:rPr>
        <w:t>6</w:t>
      </w:r>
      <w:r>
        <w:rPr>
          <w:rFonts w:hint="eastAsia" w:ascii="仿宋_GB2312" w:eastAsia="仿宋_GB2312"/>
          <w:sz w:val="32"/>
          <w:szCs w:val="32"/>
        </w:rPr>
        <w:t>月</w:t>
      </w:r>
      <w:r>
        <w:rPr>
          <w:rFonts w:hint="eastAsia" w:ascii="仿宋_GB2312" w:eastAsia="仿宋_GB2312"/>
          <w:sz w:val="32"/>
          <w:szCs w:val="32"/>
          <w:lang w:val="en-US" w:eastAsia="zh-CN"/>
        </w:rPr>
        <w:t xml:space="preserve">  </w:t>
      </w:r>
      <w:r>
        <w:rPr>
          <w:rFonts w:hint="eastAsia" w:ascii="仿宋_GB2312" w:eastAsia="仿宋_GB2312"/>
          <w:sz w:val="32"/>
          <w:szCs w:val="32"/>
        </w:rPr>
        <w:t>日</w:t>
      </w:r>
    </w:p>
    <w:p>
      <w:pPr>
        <w:pStyle w:val="2"/>
        <w:spacing w:before="0" w:beforeLines="0"/>
        <w:rPr>
          <w:rFonts w:ascii="Times New Roman" w:hAnsi="Times New Roman"/>
        </w:rPr>
        <w:sectPr>
          <w:type w:val="continuous"/>
          <w:pgSz w:w="11906" w:h="16838"/>
          <w:pgMar w:top="1701" w:right="1474" w:bottom="1701" w:left="1588" w:header="851" w:footer="992" w:gutter="0"/>
          <w:cols w:space="425" w:num="1"/>
          <w:docGrid w:type="lines" w:linePitch="312" w:charSpace="0"/>
        </w:sectPr>
      </w:pPr>
      <w:bookmarkStart w:id="0" w:name="_Toc122976144"/>
    </w:p>
    <w:p>
      <w:pPr>
        <w:pStyle w:val="2"/>
        <w:spacing w:before="0" w:beforeLines="0"/>
        <w:rPr>
          <w:rFonts w:hint="eastAsia" w:ascii="Times New Roman" w:hAnsi="Times New Roman"/>
        </w:rPr>
      </w:pPr>
      <w:r>
        <w:rPr>
          <w:rFonts w:hint="eastAsia" w:ascii="Times New Roman" w:hAnsi="Times New Roman"/>
          <w:lang w:val="en-US" w:eastAsia="zh-CN"/>
        </w:rPr>
        <w:t>2023</w:t>
      </w:r>
      <w:bookmarkStart w:id="1" w:name="_GoBack"/>
      <w:bookmarkEnd w:id="1"/>
      <w:r>
        <w:rPr>
          <w:rFonts w:hint="eastAsia" w:ascii="Times New Roman" w:hAnsi="Times New Roman"/>
          <w:lang w:val="en-US" w:eastAsia="zh-CN"/>
        </w:rPr>
        <w:t>年</w:t>
      </w:r>
      <w:r>
        <w:rPr>
          <w:rFonts w:hint="eastAsia" w:ascii="Times New Roman" w:hAnsi="Times New Roman"/>
        </w:rPr>
        <w:t>触发式“双随机、一公开”监管抽查</w:t>
      </w:r>
      <w:bookmarkEnd w:id="0"/>
      <w:r>
        <w:rPr>
          <w:rFonts w:hint="eastAsia" w:ascii="Times New Roman" w:hAnsi="Times New Roman"/>
        </w:rPr>
        <w:t>计划</w:t>
      </w:r>
    </w:p>
    <w:tbl>
      <w:tblPr>
        <w:tblStyle w:val="3"/>
        <w:tblW w:w="4994" w:type="pct"/>
        <w:tblInd w:w="0" w:type="dxa"/>
        <w:tblLayout w:type="fixed"/>
        <w:tblCellMar>
          <w:top w:w="17" w:type="dxa"/>
          <w:left w:w="17" w:type="dxa"/>
          <w:bottom w:w="17" w:type="dxa"/>
          <w:right w:w="17" w:type="dxa"/>
        </w:tblCellMar>
      </w:tblPr>
      <w:tblGrid>
        <w:gridCol w:w="365"/>
        <w:gridCol w:w="805"/>
        <w:gridCol w:w="3555"/>
        <w:gridCol w:w="600"/>
        <w:gridCol w:w="1125"/>
        <w:gridCol w:w="1035"/>
        <w:gridCol w:w="1095"/>
        <w:gridCol w:w="2385"/>
        <w:gridCol w:w="2490"/>
      </w:tblGrid>
      <w:tr>
        <w:tblPrEx>
          <w:tblCellMar>
            <w:top w:w="17" w:type="dxa"/>
            <w:left w:w="17" w:type="dxa"/>
            <w:bottom w:w="17" w:type="dxa"/>
            <w:right w:w="17" w:type="dxa"/>
          </w:tblCellMar>
        </w:tblPrEx>
        <w:trPr>
          <w:trHeight w:val="523" w:hRule="atLeast"/>
          <w:tblHeader/>
        </w:trPr>
        <w:tc>
          <w:tcPr>
            <w:tcW w:w="13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序号</w:t>
            </w:r>
          </w:p>
        </w:tc>
        <w:tc>
          <w:tcPr>
            <w:tcW w:w="1620" w:type="pct"/>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抽查项目</w:t>
            </w:r>
          </w:p>
        </w:tc>
        <w:tc>
          <w:tcPr>
            <w:tcW w:w="22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检查对象</w:t>
            </w:r>
          </w:p>
        </w:tc>
        <w:tc>
          <w:tcPr>
            <w:tcW w:w="418"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事项类别</w:t>
            </w:r>
          </w:p>
        </w:tc>
        <w:tc>
          <w:tcPr>
            <w:tcW w:w="384"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检查方式</w:t>
            </w:r>
          </w:p>
        </w:tc>
        <w:tc>
          <w:tcPr>
            <w:tcW w:w="40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检查主体</w:t>
            </w:r>
          </w:p>
        </w:tc>
        <w:tc>
          <w:tcPr>
            <w:tcW w:w="886"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检查依据</w:t>
            </w:r>
          </w:p>
        </w:tc>
        <w:tc>
          <w:tcPr>
            <w:tcW w:w="925" w:type="pct"/>
            <w:vMerge w:val="restart"/>
            <w:tcBorders>
              <w:top w:val="single" w:color="auto" w:sz="4" w:space="0"/>
              <w:left w:val="single" w:color="auto" w:sz="4" w:space="0"/>
              <w:right w:val="single" w:color="auto" w:sz="4" w:space="0"/>
            </w:tcBorders>
            <w:shd w:val="clear" w:color="auto" w:fill="auto"/>
            <w:noWrap/>
            <w:vAlign w:val="center"/>
          </w:tcPr>
          <w:p>
            <w:pPr>
              <w:widowControl/>
              <w:spacing w:line="300" w:lineRule="exact"/>
              <w:jc w:val="center"/>
              <w:rPr>
                <w:rFonts w:hint="eastAsia" w:ascii="Times New Roman" w:hAnsi="Times New Roman" w:eastAsia="黑体" w:cs="宋体"/>
                <w:kern w:val="0"/>
                <w:sz w:val="24"/>
                <w:szCs w:val="24"/>
                <w:lang w:eastAsia="zh-CN"/>
              </w:rPr>
            </w:pPr>
            <w:r>
              <w:rPr>
                <w:rFonts w:hint="eastAsia" w:ascii="Times New Roman" w:hAnsi="Times New Roman" w:eastAsia="黑体" w:cs="宋体"/>
                <w:kern w:val="0"/>
                <w:sz w:val="24"/>
                <w:szCs w:val="24"/>
                <w:lang w:eastAsia="zh-CN"/>
              </w:rPr>
              <w:t>检查时间</w:t>
            </w:r>
          </w:p>
        </w:tc>
      </w:tr>
      <w:tr>
        <w:tblPrEx>
          <w:tblCellMar>
            <w:top w:w="17" w:type="dxa"/>
            <w:left w:w="17" w:type="dxa"/>
            <w:bottom w:w="17" w:type="dxa"/>
            <w:right w:w="17" w:type="dxa"/>
          </w:tblCellMar>
        </w:tblPrEx>
        <w:trPr>
          <w:trHeight w:val="454" w:hRule="atLeast"/>
          <w:tblHeader/>
        </w:trPr>
        <w:tc>
          <w:tcPr>
            <w:tcW w:w="135"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29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抽查大类</w:t>
            </w:r>
          </w:p>
        </w:tc>
        <w:tc>
          <w:tcPr>
            <w:tcW w:w="1321"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抽查事项</w:t>
            </w:r>
          </w:p>
        </w:tc>
        <w:tc>
          <w:tcPr>
            <w:tcW w:w="22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41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38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406"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886"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925" w:type="pct"/>
            <w:vMerge w:val="continue"/>
            <w:tcBorders>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r>
      <w:tr>
        <w:tblPrEx>
          <w:tblCellMar>
            <w:top w:w="17" w:type="dxa"/>
            <w:left w:w="17" w:type="dxa"/>
            <w:bottom w:w="17" w:type="dxa"/>
            <w:right w:w="17" w:type="dxa"/>
          </w:tblCellMar>
        </w:tblPrEx>
        <w:trPr>
          <w:trHeight w:val="454" w:hRule="atLeast"/>
        </w:trPr>
        <w:tc>
          <w:tcPr>
            <w:tcW w:w="13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1</w:t>
            </w:r>
          </w:p>
        </w:tc>
        <w:tc>
          <w:tcPr>
            <w:tcW w:w="299"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典当业检查</w:t>
            </w:r>
          </w:p>
        </w:tc>
        <w:tc>
          <w:tcPr>
            <w:tcW w:w="1321"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lef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1、特种行业许可证；</w:t>
            </w:r>
          </w:p>
          <w:p>
            <w:pPr>
              <w:widowControl/>
              <w:spacing w:line="290" w:lineRule="exact"/>
              <w:jc w:val="lef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2、查验当户有效身份证明和当物有效证明文件；</w:t>
            </w:r>
          </w:p>
          <w:p>
            <w:pPr>
              <w:widowControl/>
              <w:spacing w:line="290" w:lineRule="exact"/>
              <w:jc w:val="lef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3、履行典当物品登记手续，认真填写“典当物品登记表”和当票各项内容；</w:t>
            </w:r>
          </w:p>
          <w:p>
            <w:pPr>
              <w:widowControl/>
              <w:spacing w:line="290" w:lineRule="exact"/>
              <w:jc w:val="lef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4、在办理续当、赎当业务时，应当查验当户当票和有效身份证件，并详细记录当户人员信息；</w:t>
            </w:r>
          </w:p>
          <w:p>
            <w:pPr>
              <w:widowControl/>
              <w:spacing w:line="290" w:lineRule="exact"/>
              <w:jc w:val="lef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5、当户为单位的，应当查验经办人出具的单位证明和经办人有效身份证件；</w:t>
            </w:r>
          </w:p>
          <w:p>
            <w:pPr>
              <w:widowControl/>
              <w:spacing w:line="290" w:lineRule="exact"/>
              <w:jc w:val="lef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6、在办理委托典当业务时，应当查验被委托人的委托书、本人和委托人的有效身份证件；</w:t>
            </w:r>
          </w:p>
          <w:p>
            <w:pPr>
              <w:widowControl/>
              <w:spacing w:line="29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7、对已收当登记上传的当物，应当交保管员登记入库，妥善保管，典当行工作人员不得以任何借口、方式将当物出租、抵押、使用。</w:t>
            </w:r>
          </w:p>
        </w:tc>
        <w:tc>
          <w:tcPr>
            <w:tcW w:w="222"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典当行及其分支机构</w:t>
            </w:r>
          </w:p>
        </w:tc>
        <w:tc>
          <w:tcPr>
            <w:tcW w:w="418"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406"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县级以上公安机关</w:t>
            </w:r>
          </w:p>
        </w:tc>
        <w:tc>
          <w:tcPr>
            <w:tcW w:w="886"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《典当管理办法》（中华人民共和国商务部令中华人民共和国公安部二OO五年 第8号）、《国务院关于深化“证照分离”改革进一步激发市场主体发展活力的通知》（国发〔2021〕7号）</w:t>
            </w:r>
          </w:p>
        </w:tc>
        <w:tc>
          <w:tcPr>
            <w:tcW w:w="925"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3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2</w:t>
            </w:r>
          </w:p>
        </w:tc>
        <w:tc>
          <w:tcPr>
            <w:tcW w:w="299"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报废机动车拆解业检查</w:t>
            </w:r>
          </w:p>
        </w:tc>
        <w:tc>
          <w:tcPr>
            <w:tcW w:w="1321"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lef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1、如实查验登记报废机动车车主姓名、送车人姓名、居民身份证号码、报废汽车的车牌号码、车型、发动车号码、车架号码、车身颜色、收车人姓名、《机动车报废证明》等相关内容；</w:t>
            </w:r>
          </w:p>
          <w:p>
            <w:pPr>
              <w:widowControl/>
              <w:spacing w:line="29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2、应当如实登记全体从业人员身份信息，并留存身份证复印件。</w:t>
            </w:r>
          </w:p>
        </w:tc>
        <w:tc>
          <w:tcPr>
            <w:tcW w:w="222"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报废机动车拆解业</w:t>
            </w:r>
          </w:p>
        </w:tc>
        <w:tc>
          <w:tcPr>
            <w:tcW w:w="418"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406"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县级以上公安机关</w:t>
            </w:r>
          </w:p>
        </w:tc>
        <w:tc>
          <w:tcPr>
            <w:tcW w:w="886"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《报废机动车回收管理办法》（2019年国务院令第715号）、《机动车修理业、报废机动车回收业治安管理办法》（1999年公安部38号令）</w:t>
            </w:r>
          </w:p>
        </w:tc>
        <w:tc>
          <w:tcPr>
            <w:tcW w:w="925"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3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3</w:t>
            </w:r>
          </w:p>
        </w:tc>
        <w:tc>
          <w:tcPr>
            <w:tcW w:w="299"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娱乐服务场所检查</w:t>
            </w:r>
          </w:p>
        </w:tc>
        <w:tc>
          <w:tcPr>
            <w:tcW w:w="1321"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歌舞、游艺、电子游戏、KTV、酒吧、演绎酒吧、夜总会是否符合要求</w:t>
            </w:r>
          </w:p>
        </w:tc>
        <w:tc>
          <w:tcPr>
            <w:tcW w:w="222"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娱乐服务场所</w:t>
            </w:r>
          </w:p>
        </w:tc>
        <w:tc>
          <w:tcPr>
            <w:tcW w:w="418"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406"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县级以上公安机关</w:t>
            </w:r>
          </w:p>
        </w:tc>
        <w:tc>
          <w:tcPr>
            <w:tcW w:w="886"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《中华人民共和国治安管理处罚法》、《娱乐场所管理条例》、《娱乐场所治安管理办法》</w:t>
            </w:r>
          </w:p>
        </w:tc>
        <w:tc>
          <w:tcPr>
            <w:tcW w:w="925"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3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4</w:t>
            </w:r>
          </w:p>
        </w:tc>
        <w:tc>
          <w:tcPr>
            <w:tcW w:w="299"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电影院、车站等人员密集场所检查</w:t>
            </w:r>
          </w:p>
        </w:tc>
        <w:tc>
          <w:tcPr>
            <w:tcW w:w="1321"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电影院、车站等人员密集场所检查</w:t>
            </w:r>
          </w:p>
        </w:tc>
        <w:tc>
          <w:tcPr>
            <w:tcW w:w="222"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电影院、车站</w:t>
            </w:r>
          </w:p>
        </w:tc>
        <w:tc>
          <w:tcPr>
            <w:tcW w:w="418"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06"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市公安局</w:t>
            </w:r>
          </w:p>
        </w:tc>
        <w:tc>
          <w:tcPr>
            <w:tcW w:w="886"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　</w:t>
            </w:r>
          </w:p>
        </w:tc>
        <w:tc>
          <w:tcPr>
            <w:tcW w:w="925"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hint="eastAsia" w:ascii="Times New Roman" w:hAnsi="Times New Roman" w:eastAsia="宋体" w:cs="宋体"/>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2098" w:hRule="atLeast"/>
        </w:trPr>
        <w:tc>
          <w:tcPr>
            <w:tcW w:w="13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5</w:t>
            </w:r>
          </w:p>
        </w:tc>
        <w:tc>
          <w:tcPr>
            <w:tcW w:w="29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旅馆业检查</w:t>
            </w:r>
          </w:p>
        </w:tc>
        <w:tc>
          <w:tcPr>
            <w:tcW w:w="132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1、特种行业许可证情况；</w:t>
            </w:r>
          </w:p>
          <w:p>
            <w:pPr>
              <w:widowControl/>
              <w:spacing w:line="300" w:lineRule="exact"/>
              <w:jc w:val="lef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 xml:space="preserve">2、“四实”登记制度落实情况； </w:t>
            </w:r>
          </w:p>
          <w:p>
            <w:pPr>
              <w:widowControl/>
              <w:spacing w:line="300" w:lineRule="exact"/>
              <w:jc w:val="lef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3、安全设备达标情况；</w:t>
            </w:r>
          </w:p>
          <w:p>
            <w:pPr>
              <w:widowControl/>
              <w:spacing w:line="300" w:lineRule="exact"/>
              <w:jc w:val="lef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4、是否存在“色情卡片”情况；</w:t>
            </w:r>
          </w:p>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5、其他治安管理情况</w:t>
            </w:r>
          </w:p>
        </w:tc>
        <w:tc>
          <w:tcPr>
            <w:tcW w:w="22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旅馆业</w:t>
            </w:r>
          </w:p>
        </w:tc>
        <w:tc>
          <w:tcPr>
            <w:tcW w:w="41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40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县级以上公安机关</w:t>
            </w:r>
          </w:p>
        </w:tc>
        <w:tc>
          <w:tcPr>
            <w:tcW w:w="88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《旅馆业治安管理办法》（1987年9月23日国务院批准  1987年11月10日公安部发布施行）</w:t>
            </w:r>
          </w:p>
        </w:tc>
        <w:tc>
          <w:tcPr>
            <w:tcW w:w="92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15" w:hRule="atLeast"/>
        </w:trPr>
        <w:tc>
          <w:tcPr>
            <w:tcW w:w="13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6</w:t>
            </w:r>
          </w:p>
        </w:tc>
        <w:tc>
          <w:tcPr>
            <w:tcW w:w="29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保安业检查</w:t>
            </w:r>
          </w:p>
        </w:tc>
        <w:tc>
          <w:tcPr>
            <w:tcW w:w="132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hint="eastAsia" w:ascii="Times New Roman" w:hAnsi="Times New Roman" w:eastAsia="宋体" w:cs="宋体"/>
                <w:color w:val="000000"/>
                <w:kern w:val="0"/>
                <w:sz w:val="24"/>
                <w:szCs w:val="24"/>
                <w:lang w:eastAsia="zh-CN"/>
              </w:rPr>
            </w:pPr>
            <w:r>
              <w:rPr>
                <w:rFonts w:hint="eastAsia" w:ascii="Times New Roman" w:hAnsi="Times New Roman" w:eastAsia="宋体" w:cs="宋体"/>
                <w:color w:val="000000"/>
                <w:kern w:val="0"/>
                <w:sz w:val="24"/>
                <w:szCs w:val="24"/>
              </w:rPr>
              <w:t>1、保安服务合同和监控影像资料、报警记录留存制度落实情况；</w:t>
            </w:r>
          </w:p>
          <w:p>
            <w:pPr>
              <w:widowControl/>
              <w:spacing w:line="300" w:lineRule="exact"/>
              <w:jc w:val="left"/>
              <w:rPr>
                <w:rFonts w:hint="eastAsia" w:ascii="Times New Roman" w:hAnsi="Times New Roman" w:eastAsia="宋体" w:cs="宋体"/>
                <w:color w:val="000000"/>
                <w:kern w:val="0"/>
                <w:sz w:val="24"/>
                <w:szCs w:val="24"/>
                <w:lang w:eastAsia="zh-CN"/>
              </w:rPr>
            </w:pPr>
            <w:r>
              <w:rPr>
                <w:rFonts w:hint="eastAsia" w:ascii="Times New Roman" w:hAnsi="Times New Roman" w:eastAsia="宋体" w:cs="宋体"/>
                <w:color w:val="000000"/>
                <w:kern w:val="0"/>
                <w:sz w:val="24"/>
                <w:szCs w:val="24"/>
              </w:rPr>
              <w:t>2、保安服务中涉及的安全技术防范产品、设备安装、变更、使用情况；</w:t>
            </w:r>
          </w:p>
          <w:p>
            <w:pPr>
              <w:widowControl/>
              <w:spacing w:line="300" w:lineRule="exact"/>
              <w:jc w:val="left"/>
              <w:rPr>
                <w:rFonts w:hint="eastAsia" w:ascii="Times New Roman" w:hAnsi="Times New Roman" w:eastAsia="宋体" w:cs="宋体"/>
                <w:color w:val="000000"/>
                <w:kern w:val="0"/>
                <w:sz w:val="24"/>
                <w:szCs w:val="24"/>
                <w:lang w:eastAsia="zh-CN"/>
              </w:rPr>
            </w:pPr>
            <w:r>
              <w:rPr>
                <w:rFonts w:hint="eastAsia" w:ascii="Times New Roman" w:hAnsi="Times New Roman" w:eastAsia="宋体" w:cs="宋体"/>
                <w:color w:val="000000"/>
                <w:kern w:val="0"/>
                <w:sz w:val="24"/>
                <w:szCs w:val="24"/>
              </w:rPr>
              <w:t>3、保安服务管理制度、岗位责任制度、保安员管理制度和紧急情况应急预案建立落实情况；</w:t>
            </w:r>
          </w:p>
          <w:p>
            <w:pPr>
              <w:widowControl/>
              <w:spacing w:line="300" w:lineRule="exact"/>
              <w:jc w:val="left"/>
              <w:rPr>
                <w:rFonts w:hint="eastAsia" w:ascii="Times New Roman" w:hAnsi="Times New Roman" w:eastAsia="宋体" w:cs="宋体"/>
                <w:color w:val="000000"/>
                <w:kern w:val="0"/>
                <w:sz w:val="24"/>
                <w:szCs w:val="24"/>
                <w:lang w:eastAsia="zh-CN"/>
              </w:rPr>
            </w:pPr>
            <w:r>
              <w:rPr>
                <w:rFonts w:hint="eastAsia" w:ascii="Times New Roman" w:hAnsi="Times New Roman" w:eastAsia="宋体" w:cs="宋体"/>
                <w:color w:val="000000"/>
                <w:kern w:val="0"/>
                <w:sz w:val="24"/>
                <w:szCs w:val="24"/>
              </w:rPr>
              <w:t>4、从事武装守护押运服务的保安服务公司公务用枪安全管理制度和保管设施建设情况；</w:t>
            </w:r>
          </w:p>
          <w:p>
            <w:pPr>
              <w:widowControl/>
              <w:spacing w:line="300" w:lineRule="exact"/>
              <w:jc w:val="left"/>
              <w:rPr>
                <w:rFonts w:hint="eastAsia" w:ascii="Times New Roman" w:hAnsi="Times New Roman" w:eastAsia="宋体" w:cs="宋体"/>
                <w:color w:val="000000"/>
                <w:kern w:val="0"/>
                <w:sz w:val="24"/>
                <w:szCs w:val="24"/>
                <w:lang w:eastAsia="zh-CN"/>
              </w:rPr>
            </w:pPr>
            <w:r>
              <w:rPr>
                <w:rFonts w:hint="eastAsia" w:ascii="Times New Roman" w:hAnsi="Times New Roman" w:eastAsia="宋体" w:cs="宋体"/>
                <w:color w:val="000000"/>
                <w:kern w:val="0"/>
                <w:sz w:val="24"/>
                <w:szCs w:val="24"/>
              </w:rPr>
              <w:t>5、保安员及其服装、保安服务标志与装备管理情况；</w:t>
            </w:r>
          </w:p>
          <w:p>
            <w:pPr>
              <w:widowControl/>
              <w:spacing w:line="300" w:lineRule="exact"/>
              <w:jc w:val="left"/>
              <w:rPr>
                <w:rFonts w:hint="eastAsia" w:ascii="Times New Roman" w:hAnsi="Times New Roman" w:eastAsia="宋体" w:cs="宋体"/>
                <w:color w:val="000000"/>
                <w:kern w:val="0"/>
                <w:sz w:val="24"/>
                <w:szCs w:val="24"/>
                <w:lang w:eastAsia="zh-CN"/>
              </w:rPr>
            </w:pPr>
            <w:r>
              <w:rPr>
                <w:rFonts w:hint="eastAsia" w:ascii="Times New Roman" w:hAnsi="Times New Roman" w:eastAsia="宋体" w:cs="宋体"/>
                <w:color w:val="000000"/>
                <w:kern w:val="0"/>
                <w:sz w:val="24"/>
                <w:szCs w:val="24"/>
              </w:rPr>
              <w:t>6、保安员在岗培训和权益保障工作落实情况；</w:t>
            </w:r>
          </w:p>
          <w:p>
            <w:pPr>
              <w:widowControl/>
              <w:spacing w:line="300" w:lineRule="exact"/>
              <w:jc w:val="left"/>
              <w:rPr>
                <w:rFonts w:hint="eastAsia" w:ascii="Times New Roman" w:hAnsi="Times New Roman" w:eastAsia="宋体" w:cs="宋体"/>
                <w:color w:val="000000"/>
                <w:kern w:val="0"/>
                <w:sz w:val="24"/>
                <w:szCs w:val="24"/>
                <w:lang w:eastAsia="zh-CN"/>
              </w:rPr>
            </w:pPr>
            <w:r>
              <w:rPr>
                <w:rFonts w:hint="eastAsia" w:ascii="Times New Roman" w:hAnsi="Times New Roman" w:eastAsia="宋体" w:cs="宋体"/>
                <w:color w:val="000000"/>
                <w:kern w:val="0"/>
                <w:sz w:val="24"/>
                <w:szCs w:val="24"/>
              </w:rPr>
              <w:t>7、被投诉举报事项纠正情况；</w:t>
            </w:r>
          </w:p>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8、保安培训机构枪支使用备案情况和枪支安全管理制度与保管设施建设管理情况。</w:t>
            </w:r>
          </w:p>
        </w:tc>
        <w:tc>
          <w:tcPr>
            <w:tcW w:w="22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保安服务公司、保安培训单位、武装守护押运服务企业</w:t>
            </w:r>
          </w:p>
        </w:tc>
        <w:tc>
          <w:tcPr>
            <w:tcW w:w="41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40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县级以上公安机关</w:t>
            </w:r>
          </w:p>
        </w:tc>
        <w:tc>
          <w:tcPr>
            <w:tcW w:w="88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《保安服务管理条例》、《公安机关实施保安服务管理条例办法》、《专职守护押运人员枪支使用管理条例》</w:t>
            </w:r>
          </w:p>
        </w:tc>
        <w:tc>
          <w:tcPr>
            <w:tcW w:w="92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35"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29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内保部门检查</w:t>
            </w:r>
          </w:p>
        </w:tc>
        <w:tc>
          <w:tcPr>
            <w:tcW w:w="132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单位内部治安保卫工作情况的监督检查</w:t>
            </w:r>
          </w:p>
        </w:tc>
        <w:tc>
          <w:tcPr>
            <w:tcW w:w="22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企业事业单位</w:t>
            </w:r>
          </w:p>
        </w:tc>
        <w:tc>
          <w:tcPr>
            <w:tcW w:w="41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40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市公安局</w:t>
            </w:r>
          </w:p>
        </w:tc>
        <w:tc>
          <w:tcPr>
            <w:tcW w:w="88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《企业事业单位内部治安保卫条例》（国务院令第421号）第三条。 《公安机关监督检查企业事业单位内部治安保卫工作规定》（公安部令第93号）第二条。</w:t>
            </w:r>
          </w:p>
        </w:tc>
        <w:tc>
          <w:tcPr>
            <w:tcW w:w="92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587" w:hRule="atLeast"/>
        </w:trPr>
        <w:tc>
          <w:tcPr>
            <w:tcW w:w="13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7</w:t>
            </w:r>
          </w:p>
        </w:tc>
        <w:tc>
          <w:tcPr>
            <w:tcW w:w="29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实名制执行情况检查</w:t>
            </w:r>
          </w:p>
        </w:tc>
        <w:tc>
          <w:tcPr>
            <w:tcW w:w="132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信息网络安全</w:t>
            </w:r>
          </w:p>
        </w:tc>
        <w:tc>
          <w:tcPr>
            <w:tcW w:w="22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互联网上网服务营业场所</w:t>
            </w:r>
          </w:p>
        </w:tc>
        <w:tc>
          <w:tcPr>
            <w:tcW w:w="41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40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县级以上公安机关</w:t>
            </w:r>
          </w:p>
        </w:tc>
        <w:tc>
          <w:tcPr>
            <w:tcW w:w="88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《互联网上网服务营业场所管理条例》</w:t>
            </w:r>
          </w:p>
        </w:tc>
        <w:tc>
          <w:tcPr>
            <w:tcW w:w="92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587" w:hRule="atLeast"/>
        </w:trPr>
        <w:tc>
          <w:tcPr>
            <w:tcW w:w="135"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29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Times New Roman" w:hAnsi="Times New Roman" w:eastAsia="宋体" w:cs="宋体"/>
                <w:color w:val="000000"/>
                <w:kern w:val="0"/>
                <w:sz w:val="24"/>
                <w:szCs w:val="24"/>
              </w:rPr>
            </w:pPr>
          </w:p>
        </w:tc>
        <w:tc>
          <w:tcPr>
            <w:tcW w:w="132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对互联网上网服务营业场所日常安全管理工作的检查</w:t>
            </w:r>
          </w:p>
        </w:tc>
        <w:tc>
          <w:tcPr>
            <w:tcW w:w="22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互联网上网服务营业场所</w:t>
            </w:r>
          </w:p>
        </w:tc>
        <w:tc>
          <w:tcPr>
            <w:tcW w:w="41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40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县级以上公安机关</w:t>
            </w:r>
          </w:p>
        </w:tc>
        <w:tc>
          <w:tcPr>
            <w:tcW w:w="88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《互联网上网服务营业场所管理条例》（国务院令第363号公布，国务院令第666号最后修改）。</w:t>
            </w:r>
          </w:p>
        </w:tc>
        <w:tc>
          <w:tcPr>
            <w:tcW w:w="92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587" w:hRule="atLeast"/>
        </w:trPr>
        <w:tc>
          <w:tcPr>
            <w:tcW w:w="135"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29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Times New Roman" w:hAnsi="Times New Roman" w:eastAsia="宋体" w:cs="宋体"/>
                <w:color w:val="000000"/>
                <w:kern w:val="0"/>
                <w:sz w:val="24"/>
                <w:szCs w:val="24"/>
              </w:rPr>
            </w:pPr>
          </w:p>
        </w:tc>
        <w:tc>
          <w:tcPr>
            <w:tcW w:w="132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互联网联网单位网络安全管理工作事项检查</w:t>
            </w:r>
          </w:p>
        </w:tc>
        <w:tc>
          <w:tcPr>
            <w:tcW w:w="22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重要信息系统和重点网站运营使用单位</w:t>
            </w:r>
          </w:p>
        </w:tc>
        <w:tc>
          <w:tcPr>
            <w:tcW w:w="41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40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市公安局</w:t>
            </w:r>
          </w:p>
        </w:tc>
        <w:tc>
          <w:tcPr>
            <w:tcW w:w="88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《中华人民共和国人民警察法》第六条。《中华人民共和国计算机信息系统安全保护条例》（国务院令第147号公布，国务院令第588号最后修订）第十七条。</w:t>
            </w:r>
          </w:p>
        </w:tc>
        <w:tc>
          <w:tcPr>
            <w:tcW w:w="92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587" w:hRule="atLeast"/>
        </w:trPr>
        <w:tc>
          <w:tcPr>
            <w:tcW w:w="13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8</w:t>
            </w:r>
          </w:p>
        </w:tc>
        <w:tc>
          <w:tcPr>
            <w:tcW w:w="29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对网络信息安全的检查</w:t>
            </w:r>
          </w:p>
        </w:tc>
        <w:tc>
          <w:tcPr>
            <w:tcW w:w="132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hint="eastAsia" w:ascii="Times New Roman" w:hAnsi="Times New Roman" w:eastAsia="宋体" w:cs="宋体"/>
                <w:color w:val="000000"/>
                <w:kern w:val="0"/>
                <w:sz w:val="24"/>
                <w:szCs w:val="24"/>
                <w:lang w:eastAsia="zh-CN"/>
              </w:rPr>
            </w:pPr>
            <w:r>
              <w:rPr>
                <w:rFonts w:hint="eastAsia" w:ascii="Times New Roman" w:hAnsi="Times New Roman" w:eastAsia="宋体" w:cs="宋体"/>
                <w:color w:val="000000"/>
                <w:kern w:val="0"/>
                <w:sz w:val="24"/>
                <w:szCs w:val="24"/>
              </w:rPr>
              <w:t>1、检查场所经营单位实施经营管理技术措施情况；</w:t>
            </w:r>
          </w:p>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2、检查经营单位对上网消费者的身份证等有效证件进行核对、登记、并记录有关上网信息情况。</w:t>
            </w:r>
          </w:p>
        </w:tc>
        <w:tc>
          <w:tcPr>
            <w:tcW w:w="22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互联网上网服务营业场所</w:t>
            </w:r>
          </w:p>
        </w:tc>
        <w:tc>
          <w:tcPr>
            <w:tcW w:w="41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重点检查事项</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40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县级以上公安机关网安部门</w:t>
            </w:r>
          </w:p>
        </w:tc>
        <w:tc>
          <w:tcPr>
            <w:tcW w:w="88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《互联网上网服务营业场所管理条例》第三章第十九条、第二十三条。</w:t>
            </w:r>
          </w:p>
        </w:tc>
        <w:tc>
          <w:tcPr>
            <w:tcW w:w="92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587" w:hRule="atLeast"/>
        </w:trPr>
        <w:tc>
          <w:tcPr>
            <w:tcW w:w="13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9</w:t>
            </w:r>
          </w:p>
        </w:tc>
        <w:tc>
          <w:tcPr>
            <w:tcW w:w="29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对民用枪支弹药的检查</w:t>
            </w:r>
          </w:p>
        </w:tc>
        <w:tc>
          <w:tcPr>
            <w:tcW w:w="132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对民用枪支弹药的检查</w:t>
            </w:r>
          </w:p>
        </w:tc>
        <w:tc>
          <w:tcPr>
            <w:tcW w:w="22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民用枪支弹药制造、配售企业和配置使用单位</w:t>
            </w:r>
          </w:p>
        </w:tc>
        <w:tc>
          <w:tcPr>
            <w:tcW w:w="41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40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市公安局</w:t>
            </w:r>
          </w:p>
        </w:tc>
        <w:tc>
          <w:tcPr>
            <w:tcW w:w="88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《中华人民共和国枪支管理法》第四条。</w:t>
            </w:r>
          </w:p>
        </w:tc>
        <w:tc>
          <w:tcPr>
            <w:tcW w:w="92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3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10</w:t>
            </w:r>
          </w:p>
        </w:tc>
        <w:tc>
          <w:tcPr>
            <w:tcW w:w="29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对爆破作业单位的抽查</w:t>
            </w:r>
          </w:p>
        </w:tc>
        <w:tc>
          <w:tcPr>
            <w:tcW w:w="132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hint="eastAsia" w:ascii="Times New Roman" w:hAnsi="Times New Roman" w:eastAsia="宋体" w:cs="宋体"/>
                <w:color w:val="000000"/>
                <w:kern w:val="0"/>
                <w:sz w:val="24"/>
                <w:szCs w:val="24"/>
                <w:lang w:eastAsia="zh-CN"/>
              </w:rPr>
            </w:pPr>
            <w:r>
              <w:rPr>
                <w:rFonts w:hint="eastAsia" w:ascii="Times New Roman" w:hAnsi="Times New Roman" w:eastAsia="宋体" w:cs="宋体"/>
                <w:color w:val="000000"/>
                <w:kern w:val="0"/>
                <w:sz w:val="24"/>
                <w:szCs w:val="24"/>
              </w:rPr>
              <w:t>1.爆破作业现场中的爆破作业单位、爆破作业人员和民用爆炸物品的品种、数量、来源与公安机关许可信息是否一致，民用爆炸物品临时存放是否由专人管理看护；</w:t>
            </w:r>
          </w:p>
          <w:p>
            <w:pPr>
              <w:widowControl/>
              <w:spacing w:line="300" w:lineRule="exact"/>
              <w:jc w:val="left"/>
              <w:rPr>
                <w:rFonts w:hint="eastAsia" w:ascii="Times New Roman" w:hAnsi="Times New Roman" w:eastAsia="宋体" w:cs="宋体"/>
                <w:color w:val="000000"/>
                <w:kern w:val="0"/>
                <w:sz w:val="24"/>
                <w:szCs w:val="24"/>
                <w:lang w:eastAsia="zh-CN"/>
              </w:rPr>
            </w:pPr>
            <w:r>
              <w:rPr>
                <w:rFonts w:hint="eastAsia" w:ascii="Times New Roman" w:hAnsi="Times New Roman" w:eastAsia="宋体" w:cs="宋体"/>
                <w:color w:val="000000"/>
                <w:kern w:val="0"/>
                <w:sz w:val="24"/>
                <w:szCs w:val="24"/>
              </w:rPr>
              <w:t>2.民用爆炸物品储存库人防、技防、物防、犬防等治安防范措施落实情况；</w:t>
            </w:r>
          </w:p>
          <w:p>
            <w:pPr>
              <w:widowControl/>
              <w:spacing w:line="300" w:lineRule="exact"/>
              <w:jc w:val="left"/>
              <w:rPr>
                <w:rFonts w:hint="eastAsia" w:ascii="Times New Roman" w:hAnsi="Times New Roman" w:eastAsia="宋体" w:cs="宋体"/>
                <w:color w:val="000000"/>
                <w:kern w:val="0"/>
                <w:sz w:val="24"/>
                <w:szCs w:val="24"/>
                <w:lang w:eastAsia="zh-CN"/>
              </w:rPr>
            </w:pPr>
            <w:r>
              <w:rPr>
                <w:rFonts w:hint="eastAsia" w:ascii="Times New Roman" w:hAnsi="Times New Roman" w:eastAsia="宋体" w:cs="宋体"/>
                <w:color w:val="000000"/>
                <w:kern w:val="0"/>
                <w:sz w:val="24"/>
                <w:szCs w:val="24"/>
              </w:rPr>
              <w:t>3.爆破作业单位是否使用全国民用爆炸物品信息管理系统；</w:t>
            </w:r>
          </w:p>
          <w:p>
            <w:pPr>
              <w:widowControl/>
              <w:spacing w:line="300" w:lineRule="exact"/>
              <w:jc w:val="left"/>
              <w:rPr>
                <w:rFonts w:hint="eastAsia" w:ascii="Times New Roman" w:hAnsi="Times New Roman" w:eastAsia="宋体" w:cs="宋体"/>
                <w:color w:val="000000"/>
                <w:kern w:val="0"/>
                <w:sz w:val="24"/>
                <w:szCs w:val="24"/>
                <w:lang w:eastAsia="zh-CN"/>
              </w:rPr>
            </w:pPr>
            <w:r>
              <w:rPr>
                <w:rFonts w:hint="eastAsia" w:ascii="Times New Roman" w:hAnsi="Times New Roman" w:eastAsia="宋体" w:cs="宋体"/>
                <w:color w:val="000000"/>
                <w:kern w:val="0"/>
                <w:sz w:val="24"/>
                <w:szCs w:val="24"/>
              </w:rPr>
              <w:t>4.民用爆炸物品流向信息的查验、登记、备案、信息采集和报送情况；</w:t>
            </w:r>
          </w:p>
          <w:p>
            <w:pPr>
              <w:widowControl/>
              <w:spacing w:line="300" w:lineRule="exact"/>
              <w:jc w:val="left"/>
              <w:rPr>
                <w:rFonts w:hint="eastAsia" w:ascii="Times New Roman" w:hAnsi="Times New Roman" w:eastAsia="宋体" w:cs="宋体"/>
                <w:color w:val="000000"/>
                <w:kern w:val="0"/>
                <w:sz w:val="24"/>
                <w:szCs w:val="24"/>
                <w:lang w:eastAsia="zh-CN"/>
              </w:rPr>
            </w:pPr>
            <w:r>
              <w:rPr>
                <w:rFonts w:hint="eastAsia" w:ascii="Times New Roman" w:hAnsi="Times New Roman" w:eastAsia="宋体" w:cs="宋体"/>
                <w:color w:val="000000"/>
                <w:kern w:val="0"/>
                <w:sz w:val="24"/>
                <w:szCs w:val="24"/>
              </w:rPr>
              <w:t>5.实有民用爆炸物品的品种、数量、来源、登记标识与台帐结存信息是否一致；</w:t>
            </w:r>
          </w:p>
          <w:p>
            <w:pPr>
              <w:widowControl/>
              <w:spacing w:line="300" w:lineRule="exact"/>
              <w:jc w:val="left"/>
              <w:rPr>
                <w:rFonts w:hint="eastAsia" w:ascii="Times New Roman" w:hAnsi="Times New Roman" w:eastAsia="宋体" w:cs="宋体"/>
                <w:color w:val="000000"/>
                <w:kern w:val="0"/>
                <w:sz w:val="24"/>
                <w:szCs w:val="24"/>
                <w:lang w:eastAsia="zh-CN"/>
              </w:rPr>
            </w:pPr>
            <w:r>
              <w:rPr>
                <w:rFonts w:hint="eastAsia" w:ascii="Times New Roman" w:hAnsi="Times New Roman" w:eastAsia="宋体" w:cs="宋体"/>
                <w:color w:val="000000"/>
                <w:kern w:val="0"/>
                <w:sz w:val="24"/>
                <w:szCs w:val="24"/>
              </w:rPr>
              <w:t>6.实有民用爆炸物品的警示、登记标识是否清晰、质量是否可靠、信息是否准确；</w:t>
            </w:r>
          </w:p>
          <w:p>
            <w:pPr>
              <w:widowControl/>
              <w:spacing w:line="300" w:lineRule="exact"/>
              <w:jc w:val="left"/>
              <w:rPr>
                <w:rFonts w:hint="eastAsia" w:ascii="Times New Roman" w:hAnsi="Times New Roman" w:eastAsia="宋体" w:cs="宋体"/>
                <w:color w:val="000000"/>
                <w:kern w:val="0"/>
                <w:sz w:val="24"/>
                <w:szCs w:val="24"/>
                <w:lang w:eastAsia="zh-CN"/>
              </w:rPr>
            </w:pPr>
            <w:r>
              <w:rPr>
                <w:rFonts w:hint="eastAsia" w:ascii="Times New Roman" w:hAnsi="Times New Roman" w:eastAsia="宋体" w:cs="宋体"/>
                <w:color w:val="000000"/>
                <w:kern w:val="0"/>
                <w:sz w:val="24"/>
                <w:szCs w:val="24"/>
              </w:rPr>
              <w:t xml:space="preserve"> 7.爆破作业单位的民用爆炸物品专用运输车辆、运输人员是否具备相应资质；</w:t>
            </w:r>
          </w:p>
          <w:p>
            <w:pPr>
              <w:widowControl/>
              <w:spacing w:line="300" w:lineRule="exact"/>
              <w:jc w:val="left"/>
              <w:rPr>
                <w:rFonts w:hint="eastAsia" w:ascii="Times New Roman" w:hAnsi="Times New Roman" w:eastAsia="宋体" w:cs="宋体"/>
                <w:color w:val="000000"/>
                <w:kern w:val="0"/>
                <w:sz w:val="24"/>
                <w:szCs w:val="24"/>
                <w:lang w:eastAsia="zh-CN"/>
              </w:rPr>
            </w:pPr>
            <w:r>
              <w:rPr>
                <w:rFonts w:hint="eastAsia" w:ascii="Times New Roman" w:hAnsi="Times New Roman" w:eastAsia="宋体" w:cs="宋体"/>
                <w:color w:val="000000"/>
                <w:kern w:val="0"/>
                <w:sz w:val="24"/>
                <w:szCs w:val="24"/>
              </w:rPr>
              <w:t>8.爆破作业单位是否依法依规开展爆破作业活动；</w:t>
            </w:r>
          </w:p>
          <w:p>
            <w:pPr>
              <w:widowControl/>
              <w:spacing w:line="300" w:lineRule="exact"/>
              <w:jc w:val="left"/>
              <w:rPr>
                <w:rFonts w:hint="eastAsia" w:ascii="Times New Roman" w:hAnsi="Times New Roman" w:eastAsia="宋体" w:cs="宋体"/>
                <w:color w:val="000000"/>
                <w:kern w:val="0"/>
                <w:sz w:val="24"/>
                <w:szCs w:val="24"/>
                <w:lang w:eastAsia="zh-CN"/>
              </w:rPr>
            </w:pPr>
            <w:r>
              <w:rPr>
                <w:rFonts w:hint="eastAsia" w:ascii="Times New Roman" w:hAnsi="Times New Roman" w:eastAsia="宋体" w:cs="宋体"/>
                <w:color w:val="000000"/>
                <w:kern w:val="0"/>
                <w:sz w:val="24"/>
                <w:szCs w:val="24"/>
              </w:rPr>
              <w:t>9.爆破作业单位的资质条件是否发生变化，是否存在应当变更、撤销等情形；</w:t>
            </w:r>
          </w:p>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10.爆破作业单位落实安全生产管理主体责任情况。</w:t>
            </w:r>
          </w:p>
        </w:tc>
        <w:tc>
          <w:tcPr>
            <w:tcW w:w="22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爆破作业单位</w:t>
            </w:r>
          </w:p>
        </w:tc>
        <w:tc>
          <w:tcPr>
            <w:tcW w:w="41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重点检查事项</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书面检查、实地核查、网络监测等</w:t>
            </w:r>
          </w:p>
        </w:tc>
        <w:tc>
          <w:tcPr>
            <w:tcW w:w="40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县级以上公安机关</w:t>
            </w:r>
          </w:p>
        </w:tc>
        <w:tc>
          <w:tcPr>
            <w:tcW w:w="88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《民用爆炸物品安全管理条例》第四条第二款：公安机关负责民用爆炸物品公共安全管理和民用爆炸物品购买、运输、爆破作业的安全监督管理，监管民用爆炸物品流向。</w:t>
            </w:r>
          </w:p>
        </w:tc>
        <w:tc>
          <w:tcPr>
            <w:tcW w:w="92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3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11</w:t>
            </w:r>
          </w:p>
        </w:tc>
        <w:tc>
          <w:tcPr>
            <w:tcW w:w="29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公章刻制业检查</w:t>
            </w:r>
          </w:p>
        </w:tc>
        <w:tc>
          <w:tcPr>
            <w:tcW w:w="132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公章刻制业检查</w:t>
            </w:r>
          </w:p>
        </w:tc>
        <w:tc>
          <w:tcPr>
            <w:tcW w:w="22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公章刻制业经营单位</w:t>
            </w:r>
          </w:p>
        </w:tc>
        <w:tc>
          <w:tcPr>
            <w:tcW w:w="41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40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市公安局</w:t>
            </w:r>
          </w:p>
        </w:tc>
        <w:tc>
          <w:tcPr>
            <w:tcW w:w="88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《国务院关于国家行政机关和企业事业单位社会团体印章管理的规定》（1999年）</w:t>
            </w:r>
          </w:p>
        </w:tc>
        <w:tc>
          <w:tcPr>
            <w:tcW w:w="92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3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12</w:t>
            </w:r>
          </w:p>
        </w:tc>
        <w:tc>
          <w:tcPr>
            <w:tcW w:w="29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生产性废旧金属收购业检查</w:t>
            </w:r>
          </w:p>
        </w:tc>
        <w:tc>
          <w:tcPr>
            <w:tcW w:w="132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生产性废旧金属收购业检查</w:t>
            </w:r>
          </w:p>
        </w:tc>
        <w:tc>
          <w:tcPr>
            <w:tcW w:w="22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生产性废旧金属收购单位</w:t>
            </w:r>
          </w:p>
        </w:tc>
        <w:tc>
          <w:tcPr>
            <w:tcW w:w="41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40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县级以上公安机关</w:t>
            </w:r>
          </w:p>
        </w:tc>
        <w:tc>
          <w:tcPr>
            <w:tcW w:w="88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《废旧金属收购业治安管理办法》（1994年）</w:t>
            </w:r>
          </w:p>
        </w:tc>
        <w:tc>
          <w:tcPr>
            <w:tcW w:w="92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3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13</w:t>
            </w:r>
          </w:p>
        </w:tc>
        <w:tc>
          <w:tcPr>
            <w:tcW w:w="29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旧货交易业检查</w:t>
            </w:r>
          </w:p>
        </w:tc>
        <w:tc>
          <w:tcPr>
            <w:tcW w:w="132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旧货交易业检查</w:t>
            </w:r>
          </w:p>
        </w:tc>
        <w:tc>
          <w:tcPr>
            <w:tcW w:w="22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旧货业经营单位</w:t>
            </w:r>
          </w:p>
        </w:tc>
        <w:tc>
          <w:tcPr>
            <w:tcW w:w="41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0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县级以上公安机关</w:t>
            </w:r>
          </w:p>
        </w:tc>
        <w:tc>
          <w:tcPr>
            <w:tcW w:w="88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《再生资源管理办法》</w:t>
            </w:r>
          </w:p>
        </w:tc>
        <w:tc>
          <w:tcPr>
            <w:tcW w:w="92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35"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14</w:t>
            </w:r>
          </w:p>
        </w:tc>
        <w:tc>
          <w:tcPr>
            <w:tcW w:w="299"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印刷业检查</w:t>
            </w:r>
          </w:p>
        </w:tc>
        <w:tc>
          <w:tcPr>
            <w:tcW w:w="132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印刷业检查</w:t>
            </w:r>
          </w:p>
        </w:tc>
        <w:tc>
          <w:tcPr>
            <w:tcW w:w="22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印刷业经营单位</w:t>
            </w:r>
          </w:p>
        </w:tc>
        <w:tc>
          <w:tcPr>
            <w:tcW w:w="418"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06"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县级以上公安机关</w:t>
            </w:r>
          </w:p>
        </w:tc>
        <w:tc>
          <w:tcPr>
            <w:tcW w:w="886"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《印刷业管理条例》（2001年）</w:t>
            </w:r>
          </w:p>
        </w:tc>
        <w:tc>
          <w:tcPr>
            <w:tcW w:w="925"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3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15</w:t>
            </w:r>
          </w:p>
        </w:tc>
        <w:tc>
          <w:tcPr>
            <w:tcW w:w="299"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电子游艺场所检查</w:t>
            </w:r>
          </w:p>
        </w:tc>
        <w:tc>
          <w:tcPr>
            <w:tcW w:w="132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电子游艺场所检查</w:t>
            </w:r>
          </w:p>
        </w:tc>
        <w:tc>
          <w:tcPr>
            <w:tcW w:w="22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电子游艺经营单位</w:t>
            </w:r>
          </w:p>
        </w:tc>
        <w:tc>
          <w:tcPr>
            <w:tcW w:w="418"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06"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县级以上公安机关</w:t>
            </w:r>
          </w:p>
        </w:tc>
        <w:tc>
          <w:tcPr>
            <w:tcW w:w="886"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《娱乐场所管理条例》（国务院令第458号）第三条。</w:t>
            </w:r>
          </w:p>
        </w:tc>
        <w:tc>
          <w:tcPr>
            <w:tcW w:w="925"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3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16</w:t>
            </w:r>
          </w:p>
        </w:tc>
        <w:tc>
          <w:tcPr>
            <w:tcW w:w="299"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易制毒单位检查</w:t>
            </w:r>
          </w:p>
        </w:tc>
        <w:tc>
          <w:tcPr>
            <w:tcW w:w="132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易制毒单位检查</w:t>
            </w:r>
          </w:p>
        </w:tc>
        <w:tc>
          <w:tcPr>
            <w:tcW w:w="22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易制毒化学品生产经营使用企业</w:t>
            </w:r>
          </w:p>
        </w:tc>
        <w:tc>
          <w:tcPr>
            <w:tcW w:w="418"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现场检查书面检查网络监测</w:t>
            </w:r>
          </w:p>
        </w:tc>
        <w:tc>
          <w:tcPr>
            <w:tcW w:w="406"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市公安局</w:t>
            </w:r>
          </w:p>
        </w:tc>
        <w:tc>
          <w:tcPr>
            <w:tcW w:w="886"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《易制毒化学品管理条例》（国务院令第445号）第三十二条。《易制毒化学品购销和运输管理办法》（公安部令第87号）第二条。</w:t>
            </w:r>
          </w:p>
        </w:tc>
        <w:tc>
          <w:tcPr>
            <w:tcW w:w="925"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3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17</w:t>
            </w:r>
          </w:p>
        </w:tc>
        <w:tc>
          <w:tcPr>
            <w:tcW w:w="299"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对易制毒化学品生产、经营、使用单位的抽查</w:t>
            </w:r>
          </w:p>
        </w:tc>
        <w:tc>
          <w:tcPr>
            <w:tcW w:w="132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lef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1、加强对易制毒化学品生产、经营、购买、运输、的监督检查；对非法生产、经营、购买、运输易制毒化学品，或者走私易制毒化学品的行为，依法予以查处。</w:t>
            </w:r>
          </w:p>
          <w:p>
            <w:pPr>
              <w:widowControl/>
              <w:spacing w:line="280" w:lineRule="exact"/>
              <w:jc w:val="lef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2、检查单位内部是否建立管理规章制度，是否建立销售台账和证明材料复印件是否保存2年备查。</w:t>
            </w:r>
          </w:p>
          <w:p>
            <w:pPr>
              <w:widowControl/>
              <w:spacing w:line="28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3、检查易制毒化学品生产、经营单位是否认真履行销售前查验制度和销售后出库备案制度，易制毒化学品购买、运输单位是否落实入库、出库登记制度。易制毒物品的储存是否符合国家规定的技术标准。</w:t>
            </w:r>
          </w:p>
        </w:tc>
        <w:tc>
          <w:tcPr>
            <w:tcW w:w="22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全市易制毒化学品生产、经营、使用单位</w:t>
            </w:r>
          </w:p>
        </w:tc>
        <w:tc>
          <w:tcPr>
            <w:tcW w:w="418"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书面检查、实地核查、网络巡查等。</w:t>
            </w:r>
          </w:p>
        </w:tc>
        <w:tc>
          <w:tcPr>
            <w:tcW w:w="406"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县级以上公安机关禁毒部门</w:t>
            </w:r>
          </w:p>
        </w:tc>
        <w:tc>
          <w:tcPr>
            <w:tcW w:w="886"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《易制毒化学品管理条例》（国务院令第445号，2005年8月26日公布，2018年9月18日修改）第二十条、第十七条、第十九条。　</w:t>
            </w:r>
          </w:p>
        </w:tc>
        <w:tc>
          <w:tcPr>
            <w:tcW w:w="925"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35"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18</w:t>
            </w:r>
          </w:p>
        </w:tc>
        <w:tc>
          <w:tcPr>
            <w:tcW w:w="29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对剧毒化学品运输车辆、驾驶人遵守道路交通安全法律法规的监督检查</w:t>
            </w:r>
          </w:p>
        </w:tc>
        <w:tc>
          <w:tcPr>
            <w:tcW w:w="132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抽查剧毒危化品运输车辆是否违反道路交通安全法情况</w:t>
            </w:r>
          </w:p>
        </w:tc>
        <w:tc>
          <w:tcPr>
            <w:tcW w:w="22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剧毒化学品运输企事业单位及其雇用驾驶员</w:t>
            </w:r>
          </w:p>
        </w:tc>
        <w:tc>
          <w:tcPr>
            <w:tcW w:w="418"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实地检查、书面检查及网络检查</w:t>
            </w:r>
          </w:p>
        </w:tc>
        <w:tc>
          <w:tcPr>
            <w:tcW w:w="406"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县级以上公安机关交通管理部门</w:t>
            </w:r>
          </w:p>
        </w:tc>
        <w:tc>
          <w:tcPr>
            <w:tcW w:w="886"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《剧毒化学品购买和公路运输许可证管理办法》（公安部令第77号）第十二条</w:t>
            </w:r>
          </w:p>
        </w:tc>
        <w:tc>
          <w:tcPr>
            <w:tcW w:w="925"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3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19</w:t>
            </w:r>
          </w:p>
        </w:tc>
        <w:tc>
          <w:tcPr>
            <w:tcW w:w="299"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对涉弩单位的监督检查</w:t>
            </w:r>
          </w:p>
        </w:tc>
        <w:tc>
          <w:tcPr>
            <w:tcW w:w="1321" w:type="pct"/>
            <w:tcBorders>
              <w:top w:val="single" w:color="auto" w:sz="4" w:space="0"/>
              <w:left w:val="nil"/>
              <w:bottom w:val="single" w:color="auto" w:sz="4" w:space="0"/>
              <w:right w:val="single" w:color="auto" w:sz="4" w:space="0"/>
            </w:tcBorders>
            <w:shd w:val="clear" w:color="auto" w:fill="auto"/>
            <w:noWrap/>
            <w:vAlign w:val="center"/>
          </w:tcPr>
          <w:p>
            <w:pPr>
              <w:widowControl/>
              <w:spacing w:line="28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对涉弩单位的监督检查</w:t>
            </w:r>
          </w:p>
        </w:tc>
        <w:tc>
          <w:tcPr>
            <w:tcW w:w="222" w:type="pct"/>
            <w:tcBorders>
              <w:top w:val="single" w:color="auto" w:sz="4" w:space="0"/>
              <w:left w:val="nil"/>
              <w:bottom w:val="single" w:color="auto" w:sz="4" w:space="0"/>
              <w:right w:val="single" w:color="auto" w:sz="4" w:space="0"/>
            </w:tcBorders>
            <w:shd w:val="clear" w:color="auto" w:fill="auto"/>
            <w:noWrap/>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涉弩单位</w:t>
            </w:r>
          </w:p>
        </w:tc>
        <w:tc>
          <w:tcPr>
            <w:tcW w:w="418"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84" w:type="pct"/>
            <w:tcBorders>
              <w:top w:val="single" w:color="auto" w:sz="4" w:space="0"/>
              <w:left w:val="nil"/>
              <w:bottom w:val="single" w:color="auto" w:sz="4" w:space="0"/>
              <w:right w:val="single" w:color="auto" w:sz="4" w:space="0"/>
            </w:tcBorders>
            <w:shd w:val="clear" w:color="auto" w:fill="auto"/>
            <w:noWrap/>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06"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市公安局</w:t>
            </w:r>
          </w:p>
        </w:tc>
        <w:tc>
          <w:tcPr>
            <w:tcW w:w="886"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《治安管理处罚法》、《国务院关于深化“证照分离”改革进一步激发市场主体发展活力的通知》（国发〔2021〕7号）</w:t>
            </w:r>
          </w:p>
        </w:tc>
        <w:tc>
          <w:tcPr>
            <w:tcW w:w="925"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kern w:val="0"/>
                <w:sz w:val="24"/>
                <w:szCs w:val="24"/>
              </w:rPr>
            </w:pPr>
            <w:r>
              <w:rPr>
                <w:rFonts w:hint="eastAsia" w:ascii="Times New Roman" w:hAnsi="Times New Roman" w:eastAsia="宋体" w:cs="宋体"/>
                <w:color w:val="000000"/>
                <w:kern w:val="0"/>
                <w:sz w:val="24"/>
                <w:szCs w:val="24"/>
              </w:rPr>
              <w:t>根据触发条件开展检查</w:t>
            </w:r>
          </w:p>
        </w:tc>
      </w:tr>
    </w:tbl>
    <w:p/>
    <w:p>
      <w:pPr>
        <w:widowControl/>
        <w:jc w:val="left"/>
        <w:rPr>
          <w:rFonts w:ascii="Times New Roman" w:hAnsi="Times New Roman"/>
        </w:rPr>
      </w:pPr>
    </w:p>
    <w:sectPr>
      <w:type w:val="continuous"/>
      <w:pgSz w:w="16838" w:h="11906" w:orient="landscape"/>
      <w:pgMar w:top="1588" w:right="1701" w:bottom="1474" w:left="1701"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5YmIzOGZkNTNiZWJlODM2ZjVkZWRmNTY3YjJlMzUifQ=="/>
  </w:docVars>
  <w:rsids>
    <w:rsidRoot w:val="0099262C"/>
    <w:rsid w:val="00052AED"/>
    <w:rsid w:val="00076345"/>
    <w:rsid w:val="000D44FB"/>
    <w:rsid w:val="000E271F"/>
    <w:rsid w:val="00107E0D"/>
    <w:rsid w:val="00162D8A"/>
    <w:rsid w:val="00186EF1"/>
    <w:rsid w:val="00194183"/>
    <w:rsid w:val="00224518"/>
    <w:rsid w:val="00225BF0"/>
    <w:rsid w:val="00260927"/>
    <w:rsid w:val="00284980"/>
    <w:rsid w:val="00292C4A"/>
    <w:rsid w:val="002B60AA"/>
    <w:rsid w:val="00310D02"/>
    <w:rsid w:val="00322EF4"/>
    <w:rsid w:val="003446C8"/>
    <w:rsid w:val="00361553"/>
    <w:rsid w:val="00365E27"/>
    <w:rsid w:val="00371A86"/>
    <w:rsid w:val="003D1221"/>
    <w:rsid w:val="00415AAA"/>
    <w:rsid w:val="00421A0A"/>
    <w:rsid w:val="00440A7C"/>
    <w:rsid w:val="00472BC0"/>
    <w:rsid w:val="004C370F"/>
    <w:rsid w:val="005001C2"/>
    <w:rsid w:val="00505967"/>
    <w:rsid w:val="00506E29"/>
    <w:rsid w:val="0051320C"/>
    <w:rsid w:val="005267D0"/>
    <w:rsid w:val="005411B6"/>
    <w:rsid w:val="005419E6"/>
    <w:rsid w:val="00571A19"/>
    <w:rsid w:val="00583D33"/>
    <w:rsid w:val="00591E64"/>
    <w:rsid w:val="00624AE1"/>
    <w:rsid w:val="006673BC"/>
    <w:rsid w:val="00701B8D"/>
    <w:rsid w:val="00703DB1"/>
    <w:rsid w:val="007229F8"/>
    <w:rsid w:val="00796A32"/>
    <w:rsid w:val="007A143A"/>
    <w:rsid w:val="007E1E08"/>
    <w:rsid w:val="00840FC5"/>
    <w:rsid w:val="00881E6A"/>
    <w:rsid w:val="00890904"/>
    <w:rsid w:val="00893B6E"/>
    <w:rsid w:val="008F60AB"/>
    <w:rsid w:val="00947D8A"/>
    <w:rsid w:val="00987831"/>
    <w:rsid w:val="0099262C"/>
    <w:rsid w:val="00992A86"/>
    <w:rsid w:val="009B0ACF"/>
    <w:rsid w:val="00A94D0C"/>
    <w:rsid w:val="00AB1711"/>
    <w:rsid w:val="00AB3FEB"/>
    <w:rsid w:val="00AD0B0C"/>
    <w:rsid w:val="00B27FB7"/>
    <w:rsid w:val="00B70426"/>
    <w:rsid w:val="00B92EB5"/>
    <w:rsid w:val="00B95471"/>
    <w:rsid w:val="00BC11C4"/>
    <w:rsid w:val="00BD006C"/>
    <w:rsid w:val="00BD07E7"/>
    <w:rsid w:val="00C0039E"/>
    <w:rsid w:val="00C26D79"/>
    <w:rsid w:val="00C274A7"/>
    <w:rsid w:val="00C61407"/>
    <w:rsid w:val="00CA7170"/>
    <w:rsid w:val="00D15732"/>
    <w:rsid w:val="00D57BA7"/>
    <w:rsid w:val="00D95632"/>
    <w:rsid w:val="00DB1C6A"/>
    <w:rsid w:val="00DC64C7"/>
    <w:rsid w:val="00DE43E4"/>
    <w:rsid w:val="00DF6E53"/>
    <w:rsid w:val="00E3324D"/>
    <w:rsid w:val="00E9306A"/>
    <w:rsid w:val="00EC6EF9"/>
    <w:rsid w:val="00EE530E"/>
    <w:rsid w:val="00F13EFA"/>
    <w:rsid w:val="00F16978"/>
    <w:rsid w:val="00F6046E"/>
    <w:rsid w:val="00FC2B5C"/>
    <w:rsid w:val="00FC5CC8"/>
    <w:rsid w:val="00FE12BD"/>
    <w:rsid w:val="05365452"/>
    <w:rsid w:val="0B214405"/>
    <w:rsid w:val="1BCC4982"/>
    <w:rsid w:val="2B567744"/>
    <w:rsid w:val="323F4659"/>
    <w:rsid w:val="4D8A002E"/>
    <w:rsid w:val="55F03F1F"/>
    <w:rsid w:val="56AA3788"/>
    <w:rsid w:val="600345F3"/>
    <w:rsid w:val="7B7D28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5"/>
    <w:qFormat/>
    <w:uiPriority w:val="9"/>
    <w:pPr>
      <w:widowControl/>
      <w:spacing w:before="156" w:beforeLines="50" w:after="156" w:afterLines="50" w:line="600" w:lineRule="exact"/>
      <w:jc w:val="center"/>
      <w:outlineLvl w:val="0"/>
    </w:pPr>
    <w:rPr>
      <w:rFonts w:ascii="方正小标宋简体" w:hAnsi="方正小标宋简体" w:eastAsia="方正小标宋简体" w:cs="宋体"/>
      <w:kern w:val="0"/>
      <w:sz w:val="44"/>
      <w:szCs w:val="44"/>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customStyle="1" w:styleId="5">
    <w:name w:val="标题 1 Char"/>
    <w:basedOn w:val="4"/>
    <w:link w:val="2"/>
    <w:qFormat/>
    <w:uiPriority w:val="9"/>
    <w:rPr>
      <w:rFonts w:ascii="方正小标宋简体" w:hAnsi="方正小标宋简体" w:eastAsia="方正小标宋简体" w:cs="宋体"/>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3635</Words>
  <Characters>3738</Characters>
  <Lines>9</Lines>
  <Paragraphs>2</Paragraphs>
  <TotalTime>3</TotalTime>
  <ScaleCrop>false</ScaleCrop>
  <LinksUpToDate>false</LinksUpToDate>
  <CharactersWithSpaces>3752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2022-12-02T02:34:00Z</dcterms:created>
  <dc:creator>abc</dc:creator>
  <cp:lastModifiedBy>abc</cp:lastModifiedBy>
  <dcterms:modified xsi:type="dcterms:W3CDTF">2023-07-17T08:17:38Z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3A8B5C1864CD4FA686953900AA3BE308</vt:lpwstr>
  </property>
</Properties>
</file>