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中国人民银行洛阳中心支行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w:t>
      </w:r>
      <w:r>
        <w:rPr>
          <w:rFonts w:hint="eastAsia" w:ascii="仿宋_GB2312" w:eastAsia="仿宋_GB2312"/>
          <w:sz w:val="32"/>
          <w:szCs w:val="32"/>
          <w:lang w:eastAsia="zh-CN"/>
        </w:rPr>
        <w:t>中国人民银行洛阳中心支行</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pPr>
      <w:r>
        <w:rPr>
          <w:rFonts w:hint="eastAsia" w:ascii="Times New Roman" w:hAnsi="Times New Roman"/>
          <w:lang w:val="en-US" w:eastAsia="zh-CN"/>
        </w:rPr>
        <w:t>2023</w:t>
      </w:r>
      <w:bookmarkStart w:id="1" w:name="_GoBack"/>
      <w:bookmarkEnd w:id="1"/>
      <w:r>
        <w:rPr>
          <w:rFonts w:hint="eastAsia" w:ascii="Times New Roman" w:hAnsi="Times New Roman"/>
          <w:lang w:val="en-US" w:eastAsia="zh-CN"/>
        </w:rPr>
        <w:t>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4986" w:type="pct"/>
        <w:tblInd w:w="0" w:type="dxa"/>
        <w:tblLayout w:type="fixed"/>
        <w:tblCellMar>
          <w:top w:w="17" w:type="dxa"/>
          <w:left w:w="17" w:type="dxa"/>
          <w:bottom w:w="17" w:type="dxa"/>
          <w:right w:w="17" w:type="dxa"/>
        </w:tblCellMar>
      </w:tblPr>
      <w:tblGrid>
        <w:gridCol w:w="403"/>
        <w:gridCol w:w="705"/>
        <w:gridCol w:w="1011"/>
        <w:gridCol w:w="574"/>
        <w:gridCol w:w="2367"/>
        <w:gridCol w:w="828"/>
        <w:gridCol w:w="885"/>
        <w:gridCol w:w="915"/>
        <w:gridCol w:w="3269"/>
        <w:gridCol w:w="2476"/>
      </w:tblGrid>
      <w:tr>
        <w:tblPrEx>
          <w:tblCellMar>
            <w:top w:w="17" w:type="dxa"/>
            <w:left w:w="17" w:type="dxa"/>
            <w:bottom w:w="17" w:type="dxa"/>
            <w:right w:w="17" w:type="dxa"/>
          </w:tblCellMar>
        </w:tblPrEx>
        <w:trPr>
          <w:trHeight w:val="454" w:hRule="atLeast"/>
          <w:tblHeader/>
        </w:trPr>
        <w:tc>
          <w:tcPr>
            <w:tcW w:w="15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bCs/>
                <w:color w:val="000000"/>
                <w:kern w:val="0"/>
                <w:sz w:val="24"/>
                <w:szCs w:val="24"/>
              </w:rPr>
            </w:pPr>
            <w:r>
              <w:rPr>
                <w:rFonts w:hint="eastAsia" w:ascii="Times New Roman" w:hAnsi="Times New Roman" w:eastAsia="黑体" w:cs="宋体"/>
                <w:bCs/>
                <w:color w:val="000000"/>
                <w:kern w:val="0"/>
                <w:sz w:val="24"/>
                <w:szCs w:val="24"/>
              </w:rPr>
              <w:t>序号</w:t>
            </w:r>
          </w:p>
        </w:tc>
        <w:tc>
          <w:tcPr>
            <w:tcW w:w="2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bCs/>
                <w:color w:val="000000"/>
                <w:kern w:val="0"/>
                <w:sz w:val="24"/>
                <w:szCs w:val="24"/>
              </w:rPr>
            </w:pPr>
            <w:r>
              <w:rPr>
                <w:rFonts w:hint="eastAsia" w:ascii="Times New Roman" w:hAnsi="Times New Roman" w:eastAsia="黑体" w:cs="宋体"/>
                <w:bCs/>
                <w:color w:val="000000"/>
                <w:kern w:val="0"/>
                <w:sz w:val="24"/>
                <w:szCs w:val="24"/>
              </w:rPr>
              <w:t>抽查大类</w:t>
            </w:r>
          </w:p>
        </w:tc>
        <w:tc>
          <w:tcPr>
            <w:tcW w:w="3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bCs/>
                <w:color w:val="000000"/>
                <w:kern w:val="0"/>
                <w:sz w:val="24"/>
                <w:szCs w:val="24"/>
              </w:rPr>
            </w:pPr>
            <w:r>
              <w:rPr>
                <w:rFonts w:hint="eastAsia" w:ascii="Times New Roman" w:hAnsi="Times New Roman" w:eastAsia="黑体" w:cs="宋体"/>
                <w:bCs/>
                <w:color w:val="000000"/>
                <w:kern w:val="0"/>
                <w:sz w:val="24"/>
                <w:szCs w:val="24"/>
              </w:rPr>
              <w:t>检查主体</w:t>
            </w:r>
          </w:p>
        </w:tc>
        <w:tc>
          <w:tcPr>
            <w:tcW w:w="21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bCs/>
                <w:color w:val="000000"/>
                <w:kern w:val="0"/>
                <w:sz w:val="24"/>
                <w:szCs w:val="24"/>
              </w:rPr>
            </w:pPr>
            <w:r>
              <w:rPr>
                <w:rFonts w:hint="eastAsia" w:ascii="Times New Roman" w:hAnsi="Times New Roman" w:eastAsia="黑体" w:cs="宋体"/>
                <w:bCs/>
                <w:color w:val="000000"/>
                <w:kern w:val="0"/>
                <w:sz w:val="24"/>
                <w:szCs w:val="24"/>
              </w:rPr>
              <w:t>检查对象</w:t>
            </w:r>
          </w:p>
        </w:tc>
        <w:tc>
          <w:tcPr>
            <w:tcW w:w="11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bCs/>
                <w:color w:val="000000"/>
                <w:kern w:val="0"/>
                <w:sz w:val="24"/>
                <w:szCs w:val="24"/>
              </w:rPr>
            </w:pPr>
            <w:r>
              <w:rPr>
                <w:rFonts w:hint="eastAsia" w:ascii="Times New Roman" w:hAnsi="Times New Roman" w:eastAsia="黑体" w:cs="宋体"/>
                <w:bCs/>
                <w:color w:val="000000"/>
                <w:kern w:val="0"/>
                <w:sz w:val="24"/>
                <w:szCs w:val="24"/>
              </w:rPr>
              <w:t>检查事项</w:t>
            </w:r>
          </w:p>
        </w:tc>
        <w:tc>
          <w:tcPr>
            <w:tcW w:w="1886"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bCs/>
                <w:color w:val="000000"/>
                <w:kern w:val="0"/>
                <w:sz w:val="24"/>
                <w:szCs w:val="24"/>
              </w:rPr>
            </w:pPr>
            <w:r>
              <w:rPr>
                <w:rFonts w:hint="eastAsia" w:ascii="Times New Roman" w:hAnsi="Times New Roman" w:eastAsia="黑体" w:cs="宋体"/>
                <w:bCs/>
                <w:color w:val="000000"/>
                <w:kern w:val="0"/>
                <w:sz w:val="24"/>
                <w:szCs w:val="24"/>
              </w:rPr>
              <w:t>检查依据</w:t>
            </w:r>
          </w:p>
        </w:tc>
        <w:tc>
          <w:tcPr>
            <w:tcW w:w="921" w:type="pct"/>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黑体" w:cs="宋体"/>
                <w:bCs/>
                <w:color w:val="000000"/>
                <w:kern w:val="0"/>
                <w:sz w:val="24"/>
                <w:szCs w:val="24"/>
                <w:lang w:eastAsia="zh-CN"/>
              </w:rPr>
            </w:pPr>
            <w:r>
              <w:rPr>
                <w:rFonts w:hint="eastAsia" w:ascii="Times New Roman" w:hAnsi="Times New Roman" w:eastAsia="黑体" w:cs="宋体"/>
                <w:bCs/>
                <w:color w:val="000000"/>
                <w:kern w:val="0"/>
                <w:sz w:val="24"/>
                <w:szCs w:val="24"/>
                <w:lang w:eastAsia="zh-CN"/>
              </w:rPr>
              <w:t>检查时间</w:t>
            </w:r>
          </w:p>
        </w:tc>
      </w:tr>
      <w:tr>
        <w:tblPrEx>
          <w:tblCellMar>
            <w:top w:w="17" w:type="dxa"/>
            <w:left w:w="17" w:type="dxa"/>
            <w:bottom w:w="17" w:type="dxa"/>
            <w:right w:w="17" w:type="dxa"/>
          </w:tblCellMar>
        </w:tblPrEx>
        <w:trPr>
          <w:trHeight w:val="454" w:hRule="atLeast"/>
          <w:tblHeader/>
        </w:trPr>
        <w:tc>
          <w:tcPr>
            <w:tcW w:w="1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黑体" w:cs="宋体"/>
                <w:bCs/>
                <w:color w:val="000000"/>
                <w:kern w:val="0"/>
                <w:sz w:val="24"/>
                <w:szCs w:val="24"/>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黑体" w:cs="宋体"/>
                <w:bCs/>
                <w:color w:val="000000"/>
                <w:kern w:val="0"/>
                <w:sz w:val="24"/>
                <w:szCs w:val="24"/>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黑体" w:cs="宋体"/>
                <w:bCs/>
                <w:color w:val="000000"/>
                <w:kern w:val="0"/>
                <w:sz w:val="24"/>
                <w:szCs w:val="24"/>
              </w:rPr>
            </w:pPr>
          </w:p>
        </w:tc>
        <w:tc>
          <w:tcPr>
            <w:tcW w:w="2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黑体" w:cs="宋体"/>
                <w:bCs/>
                <w:color w:val="000000"/>
                <w:kern w:val="0"/>
                <w:sz w:val="24"/>
                <w:szCs w:val="24"/>
              </w:rPr>
            </w:pPr>
          </w:p>
        </w:tc>
        <w:tc>
          <w:tcPr>
            <w:tcW w:w="1189"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黑体" w:cs="宋体"/>
                <w:bCs/>
                <w:color w:val="000000"/>
                <w:kern w:val="0"/>
                <w:sz w:val="24"/>
                <w:szCs w:val="24"/>
              </w:rPr>
            </w:pPr>
          </w:p>
        </w:tc>
        <w:tc>
          <w:tcPr>
            <w:tcW w:w="3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bCs/>
                <w:color w:val="000000"/>
                <w:kern w:val="0"/>
                <w:sz w:val="24"/>
                <w:szCs w:val="24"/>
              </w:rPr>
            </w:pPr>
            <w:r>
              <w:rPr>
                <w:rFonts w:hint="eastAsia" w:ascii="Times New Roman" w:hAnsi="Times New Roman" w:eastAsia="黑体" w:cs="宋体"/>
                <w:bCs/>
                <w:color w:val="000000"/>
                <w:kern w:val="0"/>
                <w:sz w:val="24"/>
                <w:szCs w:val="24"/>
              </w:rPr>
              <w:t>法 律</w:t>
            </w: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bCs/>
                <w:color w:val="000000"/>
                <w:kern w:val="0"/>
                <w:sz w:val="24"/>
                <w:szCs w:val="24"/>
              </w:rPr>
            </w:pPr>
            <w:r>
              <w:rPr>
                <w:rFonts w:hint="eastAsia" w:ascii="Times New Roman" w:hAnsi="Times New Roman" w:eastAsia="黑体" w:cs="宋体"/>
                <w:bCs/>
                <w:color w:val="000000"/>
                <w:kern w:val="0"/>
                <w:sz w:val="24"/>
                <w:szCs w:val="24"/>
              </w:rPr>
              <w:t>行政法规</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bCs/>
                <w:color w:val="000000"/>
                <w:kern w:val="0"/>
                <w:sz w:val="24"/>
                <w:szCs w:val="24"/>
              </w:rPr>
            </w:pPr>
            <w:r>
              <w:rPr>
                <w:rFonts w:hint="eastAsia" w:ascii="Times New Roman" w:hAnsi="Times New Roman" w:eastAsia="黑体" w:cs="宋体"/>
                <w:bCs/>
                <w:color w:val="000000"/>
                <w:kern w:val="0"/>
                <w:sz w:val="24"/>
                <w:szCs w:val="24"/>
              </w:rPr>
              <w:t>部门规章</w:t>
            </w:r>
          </w:p>
        </w:tc>
        <w:tc>
          <w:tcPr>
            <w:tcW w:w="921" w:type="pct"/>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黑体" w:cs="宋体"/>
                <w:bCs/>
                <w:color w:val="000000"/>
                <w:kern w:val="0"/>
                <w:sz w:val="24"/>
                <w:szCs w:val="24"/>
              </w:rPr>
            </w:pPr>
          </w:p>
        </w:tc>
      </w:tr>
      <w:tr>
        <w:tblPrEx>
          <w:tblCellMar>
            <w:top w:w="17" w:type="dxa"/>
            <w:left w:w="17" w:type="dxa"/>
            <w:bottom w:w="17" w:type="dxa"/>
            <w:right w:w="17" w:type="dxa"/>
          </w:tblCellMar>
        </w:tblPrEx>
        <w:trPr>
          <w:trHeight w:val="454" w:hRule="atLeast"/>
        </w:trPr>
        <w:tc>
          <w:tcPr>
            <w:tcW w:w="15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w:t>
            </w:r>
          </w:p>
        </w:tc>
        <w:tc>
          <w:tcPr>
            <w:tcW w:w="2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货币信贷类</w:t>
            </w:r>
          </w:p>
        </w:tc>
        <w:tc>
          <w:tcPr>
            <w:tcW w:w="3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人行洛阳市中支（货币信贷管理部门）</w:t>
            </w:r>
          </w:p>
        </w:tc>
        <w:tc>
          <w:tcPr>
            <w:tcW w:w="21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辖内银行业金融机构</w:t>
            </w: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对执行有关存款准备金管理规定的行为进行检查监督</w:t>
            </w:r>
          </w:p>
        </w:tc>
        <w:tc>
          <w:tcPr>
            <w:tcW w:w="3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《中华人民共和国中国人民银行法》第三十二条</w:t>
            </w:r>
          </w:p>
        </w:tc>
        <w:tc>
          <w:tcPr>
            <w:tcW w:w="3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1216" w:type="pct"/>
            <w:vMerge w:val="restart"/>
            <w:tcBorders>
              <w:top w:val="single" w:color="auto" w:sz="4" w:space="0"/>
              <w:left w:val="nil"/>
              <w:right w:val="single" w:color="auto" w:sz="4" w:space="0"/>
            </w:tcBorders>
            <w:shd w:val="clear" w:color="auto" w:fill="auto"/>
            <w:vAlign w:val="center"/>
          </w:tcPr>
          <w:p>
            <w:pPr>
              <w:widowControl/>
              <w:spacing w:line="30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《同业拆借管理办法》（中国人民银行令[2007]第3号）</w:t>
            </w:r>
          </w:p>
        </w:tc>
        <w:tc>
          <w:tcPr>
            <w:tcW w:w="921" w:type="pct"/>
            <w:vMerge w:val="restart"/>
            <w:tcBorders>
              <w:top w:val="single" w:color="auto" w:sz="4" w:space="0"/>
              <w:left w:val="nil"/>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p>
            <w:pPr>
              <w:widowControl/>
              <w:spacing w:line="300" w:lineRule="exact"/>
              <w:rPr>
                <w:rFonts w:hint="eastAsia" w:ascii="Times New Roman" w:hAnsi="Times New Roman" w:eastAsia="宋体" w:cs="宋体"/>
                <w:color w:val="000000"/>
                <w:kern w:val="0"/>
                <w:sz w:val="24"/>
                <w:szCs w:val="24"/>
              </w:rPr>
            </w:pPr>
          </w:p>
        </w:tc>
      </w:tr>
      <w:tr>
        <w:tblPrEx>
          <w:tblCellMar>
            <w:top w:w="17" w:type="dxa"/>
            <w:left w:w="17" w:type="dxa"/>
            <w:bottom w:w="17" w:type="dxa"/>
            <w:right w:w="17" w:type="dxa"/>
          </w:tblCellMar>
        </w:tblPrEx>
        <w:trPr>
          <w:trHeight w:val="454" w:hRule="atLeast"/>
        </w:trPr>
        <w:tc>
          <w:tcPr>
            <w:tcW w:w="1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1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地方性法人金融机构</w:t>
            </w: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对与中国人民银行特种贷款有关的行为进行检查监督</w:t>
            </w:r>
          </w:p>
        </w:tc>
        <w:tc>
          <w:tcPr>
            <w:tcW w:w="32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216" w:type="pct"/>
            <w:vMerge w:val="continue"/>
            <w:tcBorders>
              <w:left w:val="nil"/>
              <w:right w:val="single" w:color="auto" w:sz="4" w:space="0"/>
            </w:tcBorders>
            <w:shd w:val="clear" w:color="auto" w:fill="auto"/>
            <w:vAlign w:val="center"/>
          </w:tcPr>
          <w:p>
            <w:pPr>
              <w:spacing w:line="300" w:lineRule="exact"/>
              <w:jc w:val="left"/>
              <w:rPr>
                <w:rFonts w:ascii="Times New Roman" w:hAnsi="Times New Roman" w:eastAsia="宋体" w:cs="宋体"/>
                <w:color w:val="000000"/>
                <w:kern w:val="0"/>
                <w:sz w:val="24"/>
                <w:szCs w:val="24"/>
              </w:rPr>
            </w:pPr>
          </w:p>
        </w:tc>
        <w:tc>
          <w:tcPr>
            <w:tcW w:w="921" w:type="pct"/>
            <w:vMerge w:val="continue"/>
            <w:tcBorders>
              <w:left w:val="nil"/>
              <w:right w:val="single" w:color="auto" w:sz="4" w:space="0"/>
            </w:tcBorders>
            <w:shd w:val="clear" w:color="auto" w:fill="auto"/>
            <w:vAlign w:val="center"/>
          </w:tcPr>
          <w:p>
            <w:pPr>
              <w:spacing w:line="300" w:lineRule="exact"/>
              <w:jc w:val="left"/>
              <w:rPr>
                <w:rFonts w:ascii="Times New Roman" w:hAnsi="Times New Roman" w:eastAsia="宋体" w:cs="宋体"/>
                <w:color w:val="000000"/>
                <w:kern w:val="0"/>
                <w:sz w:val="24"/>
                <w:szCs w:val="24"/>
              </w:rPr>
            </w:pPr>
          </w:p>
        </w:tc>
      </w:tr>
      <w:tr>
        <w:tblPrEx>
          <w:tblCellMar>
            <w:top w:w="17" w:type="dxa"/>
            <w:left w:w="17" w:type="dxa"/>
            <w:bottom w:w="17" w:type="dxa"/>
            <w:right w:w="17" w:type="dxa"/>
          </w:tblCellMar>
        </w:tblPrEx>
        <w:trPr>
          <w:trHeight w:val="454" w:hRule="atLeast"/>
        </w:trPr>
        <w:tc>
          <w:tcPr>
            <w:tcW w:w="1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对执行有关银行间同业拆借市场管理规定的行为进行检查监督</w:t>
            </w:r>
          </w:p>
        </w:tc>
        <w:tc>
          <w:tcPr>
            <w:tcW w:w="32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216" w:type="pct"/>
            <w:vMerge w:val="continue"/>
            <w:tcBorders>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p>
        </w:tc>
        <w:tc>
          <w:tcPr>
            <w:tcW w:w="921" w:type="pct"/>
            <w:vMerge w:val="continue"/>
            <w:tcBorders>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p>
        </w:tc>
      </w:tr>
      <w:tr>
        <w:tblPrEx>
          <w:tblCellMar>
            <w:top w:w="17" w:type="dxa"/>
            <w:left w:w="17" w:type="dxa"/>
            <w:bottom w:w="17" w:type="dxa"/>
            <w:right w:w="17" w:type="dxa"/>
          </w:tblCellMar>
        </w:tblPrEx>
        <w:trPr>
          <w:trHeight w:val="454" w:hRule="atLeast"/>
        </w:trPr>
        <w:tc>
          <w:tcPr>
            <w:tcW w:w="1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对执行有关银行间债券市场管理规定的行为进行检查监督</w:t>
            </w:r>
          </w:p>
        </w:tc>
        <w:tc>
          <w:tcPr>
            <w:tcW w:w="32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《全国银行间债券市场金融债券发行管理办法》（中国人民银行令[2005]第1号）、《全国银行间债券市场债券交易管理办法》（中国人民银行令[2000]第2号）</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1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辖内银行业金融机构</w:t>
            </w: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对黄金市场参与者的交易行为以及其他执行有关黄金管理规定的行为进行检查监督</w:t>
            </w:r>
          </w:p>
        </w:tc>
        <w:tc>
          <w:tcPr>
            <w:tcW w:w="32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w:t>
            </w:r>
          </w:p>
        </w:tc>
        <w:tc>
          <w:tcPr>
            <w:tcW w:w="2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金融稳定类</w:t>
            </w:r>
          </w:p>
        </w:tc>
        <w:tc>
          <w:tcPr>
            <w:tcW w:w="3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人行洛阳市中支（金融稳定部门）</w:t>
            </w:r>
          </w:p>
        </w:tc>
        <w:tc>
          <w:tcPr>
            <w:tcW w:w="21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辖内发放金融稳定再贷款金融机构</w:t>
            </w: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金融稳定再贷款检查监督</w:t>
            </w:r>
          </w:p>
        </w:tc>
        <w:tc>
          <w:tcPr>
            <w:tcW w:w="3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《中华人民共和国中国人民银行法》第三十二条</w:t>
            </w:r>
          </w:p>
        </w:tc>
        <w:tc>
          <w:tcPr>
            <w:tcW w:w="3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3</w:t>
            </w:r>
          </w:p>
        </w:tc>
        <w:tc>
          <w:tcPr>
            <w:tcW w:w="2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金融统计类</w:t>
            </w:r>
          </w:p>
        </w:tc>
        <w:tc>
          <w:tcPr>
            <w:tcW w:w="3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人行洛阳市中支（调查统计部门）</w:t>
            </w:r>
          </w:p>
        </w:tc>
        <w:tc>
          <w:tcPr>
            <w:tcW w:w="21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辖内银行业金融机构</w:t>
            </w: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金融统计制度执行情况检查监督</w:t>
            </w:r>
          </w:p>
        </w:tc>
        <w:tc>
          <w:tcPr>
            <w:tcW w:w="3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《中华人民共和国商业银行法》第七十七条</w:t>
            </w:r>
          </w:p>
        </w:tc>
        <w:tc>
          <w:tcPr>
            <w:tcW w:w="3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《金融统计管理规定》（中国人民银行令[2002]第9号） </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04" w:hRule="atLeast"/>
        </w:trPr>
        <w:tc>
          <w:tcPr>
            <w:tcW w:w="15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4</w:t>
            </w:r>
          </w:p>
        </w:tc>
        <w:tc>
          <w:tcPr>
            <w:tcW w:w="2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支付结算类</w:t>
            </w:r>
          </w:p>
        </w:tc>
        <w:tc>
          <w:tcPr>
            <w:tcW w:w="3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人行洛阳市中支（支付结算部门）</w:t>
            </w:r>
          </w:p>
        </w:tc>
        <w:tc>
          <w:tcPr>
            <w:tcW w:w="21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辖内银行业金融机构</w:t>
            </w: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对金融机构执行支付系统有关规定情况的检查监督</w:t>
            </w:r>
          </w:p>
        </w:tc>
        <w:tc>
          <w:tcPr>
            <w:tcW w:w="3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《中华人民共和国中国人民银行法》第三十二条</w:t>
            </w:r>
          </w:p>
        </w:tc>
        <w:tc>
          <w:tcPr>
            <w:tcW w:w="3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04" w:hRule="atLeast"/>
        </w:trPr>
        <w:tc>
          <w:tcPr>
            <w:tcW w:w="1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对银行业金融机构执行银行结算账户制度情况的检查监督</w:t>
            </w:r>
          </w:p>
        </w:tc>
        <w:tc>
          <w:tcPr>
            <w:tcW w:w="32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《个人存款账户实名制规定》（国务院令第285号）</w:t>
            </w: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《人民币银行结算账户管理办法》（中国人民银行令〔2003〕第5号）</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04" w:hRule="atLeast"/>
        </w:trPr>
        <w:tc>
          <w:tcPr>
            <w:tcW w:w="1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对执行有关非现金支付工具管理规定的检查监督</w:t>
            </w:r>
          </w:p>
        </w:tc>
        <w:tc>
          <w:tcPr>
            <w:tcW w:w="3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《中华人民共和国中国人民银行法》第三十二条、《中华人民共和国票据法》</w:t>
            </w:r>
          </w:p>
        </w:tc>
        <w:tc>
          <w:tcPr>
            <w:tcW w:w="3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《票据管理实施办法》（中国人民银行令〔1997〕第2号）、《银行卡业务管理办法》（银发〔1997〕17号）、《电子商业汇票业务管理办法》（中国人民银行令〔2009〕第2号）</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04" w:hRule="atLeast"/>
        </w:trPr>
        <w:tc>
          <w:tcPr>
            <w:tcW w:w="1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1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辖内非银行支付机构</w:t>
            </w: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对执行非银行支付服务管理规定情况的检查监督</w:t>
            </w:r>
          </w:p>
        </w:tc>
        <w:tc>
          <w:tcPr>
            <w:tcW w:w="3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《中华人民共和国中国人民银行法》第三十二条</w:t>
            </w:r>
          </w:p>
        </w:tc>
        <w:tc>
          <w:tcPr>
            <w:tcW w:w="3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《非金融机构支付服务管理办法》（中国人民银行令〔2010〕第2号）</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04" w:hRule="atLeast"/>
        </w:trPr>
        <w:tc>
          <w:tcPr>
            <w:tcW w:w="1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1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辖内银行卡收单机构</w:t>
            </w: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对执行银行卡清算业务管理规定情况的检查监督</w:t>
            </w:r>
          </w:p>
        </w:tc>
        <w:tc>
          <w:tcPr>
            <w:tcW w:w="32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《银行卡清算机构管理办法》（中国人民银行 中国银行业监督管理委员会令〔2016〕第2号）</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04" w:hRule="atLeast"/>
        </w:trPr>
        <w:tc>
          <w:tcPr>
            <w:tcW w:w="1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1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辖内银行业金融机构</w:t>
            </w: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对其他执行有关清算管理规定的行为进行检查监督</w:t>
            </w:r>
          </w:p>
        </w:tc>
        <w:tc>
          <w:tcPr>
            <w:tcW w:w="32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《支付结算办法》（银发〔1997〕1393号）</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438" w:hRule="atLeast"/>
        </w:trPr>
        <w:tc>
          <w:tcPr>
            <w:tcW w:w="15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5</w:t>
            </w:r>
          </w:p>
        </w:tc>
        <w:tc>
          <w:tcPr>
            <w:tcW w:w="2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货币金银类</w:t>
            </w:r>
          </w:p>
        </w:tc>
        <w:tc>
          <w:tcPr>
            <w:tcW w:w="3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人行洛阳市中支（货币金银部门）</w:t>
            </w:r>
          </w:p>
        </w:tc>
        <w:tc>
          <w:tcPr>
            <w:tcW w:w="21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辖内银行业金融机构</w:t>
            </w: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对执行有关人民币管理规定的行为进行检查监督</w:t>
            </w:r>
          </w:p>
        </w:tc>
        <w:tc>
          <w:tcPr>
            <w:tcW w:w="3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《中华人民共和国中国人民银行法》第三十二条</w:t>
            </w:r>
          </w:p>
        </w:tc>
        <w:tc>
          <w:tcPr>
            <w:tcW w:w="3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《中华人民共和国人民币管理条例》（国务院令第280号）</w:t>
            </w: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《中国人民银行假币收缴、鉴定管理办法》（中国人民银行令〔2003〕第4号）、《中国人民银行残缺污损人民币兑换办法》（中国人民银行令〔2003〕第7号）</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438" w:hRule="atLeast"/>
        </w:trPr>
        <w:tc>
          <w:tcPr>
            <w:tcW w:w="1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1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获得黄金及其制品进出口许可证的黄金矿山生产企业、商业银行、黄金制品生产企业、经营黄金制品进出口的外贸企业</w:t>
            </w:r>
          </w:p>
        </w:tc>
        <w:tc>
          <w:tcPr>
            <w:tcW w:w="8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对执行有关黄金管理规定的行为进行检查监督</w:t>
            </w:r>
          </w:p>
        </w:tc>
        <w:tc>
          <w:tcPr>
            <w:tcW w:w="30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对获得黄金及其制品进出口许可证的黄金矿山生产企业、商业银行、黄金制品生产企业、经营黄金制品进出口的外贸企业等执行有关黄金管理规定的行为进行检查</w:t>
            </w:r>
          </w:p>
        </w:tc>
        <w:tc>
          <w:tcPr>
            <w:tcW w:w="32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121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c>
          <w:tcPr>
            <w:tcW w:w="9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438" w:hRule="atLeast"/>
        </w:trPr>
        <w:tc>
          <w:tcPr>
            <w:tcW w:w="1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881"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0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对其他执行有关黄金管理规定的行为进行检查监督</w:t>
            </w:r>
          </w:p>
        </w:tc>
        <w:tc>
          <w:tcPr>
            <w:tcW w:w="32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121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921"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6</w:t>
            </w:r>
          </w:p>
        </w:tc>
        <w:tc>
          <w:tcPr>
            <w:tcW w:w="2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国库类</w:t>
            </w:r>
          </w:p>
        </w:tc>
        <w:tc>
          <w:tcPr>
            <w:tcW w:w="3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人行洛阳市中支（国库部门）</w:t>
            </w:r>
          </w:p>
        </w:tc>
        <w:tc>
          <w:tcPr>
            <w:tcW w:w="21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具有代理支库资格、国库经收业务资格的金融机构</w:t>
            </w:r>
          </w:p>
        </w:tc>
        <w:tc>
          <w:tcPr>
            <w:tcW w:w="8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对代理人民银行经理国库的行为进行检查监督</w:t>
            </w:r>
          </w:p>
        </w:tc>
        <w:tc>
          <w:tcPr>
            <w:tcW w:w="30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对商业银行、信用社代理支库、办理国库经收处、代理乡镇国库业务情况进行检查监督</w:t>
            </w:r>
          </w:p>
        </w:tc>
        <w:tc>
          <w:tcPr>
            <w:tcW w:w="3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《中华人民共和国中国人民银行法》第三十二条</w:t>
            </w:r>
          </w:p>
        </w:tc>
        <w:tc>
          <w:tcPr>
            <w:tcW w:w="3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《商业银行、信用社代理国库业务管理办法》（中国人民银行令[2001]第1号）</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3229" w:hRule="atLeast"/>
        </w:trPr>
        <w:tc>
          <w:tcPr>
            <w:tcW w:w="1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1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有国债承销资格的商业银行或国库集中收付业务代理资格的金融机构</w:t>
            </w:r>
          </w:p>
        </w:tc>
        <w:tc>
          <w:tcPr>
            <w:tcW w:w="881"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0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对其他代理人民银行经理国库的行为进行检查监督</w:t>
            </w:r>
          </w:p>
        </w:tc>
        <w:tc>
          <w:tcPr>
            <w:tcW w:w="32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7</w:t>
            </w:r>
          </w:p>
        </w:tc>
        <w:tc>
          <w:tcPr>
            <w:tcW w:w="2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征信管理类</w:t>
            </w:r>
          </w:p>
        </w:tc>
        <w:tc>
          <w:tcPr>
            <w:tcW w:w="3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人行洛阳市中支（征信管理部门）</w:t>
            </w:r>
          </w:p>
        </w:tc>
        <w:tc>
          <w:tcPr>
            <w:tcW w:w="21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金融信用信息基础数据库接入机构</w:t>
            </w:r>
          </w:p>
        </w:tc>
        <w:tc>
          <w:tcPr>
            <w:tcW w:w="8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对执行征信管理规定情况进行检查监督</w:t>
            </w:r>
          </w:p>
        </w:tc>
        <w:tc>
          <w:tcPr>
            <w:tcW w:w="30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对金融信用信息基础数据库及其接入机构依法合规开展征信业务情况进行监督检查</w:t>
            </w:r>
          </w:p>
        </w:tc>
        <w:tc>
          <w:tcPr>
            <w:tcW w:w="3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3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《征信业管理条例》（国务院令第631号）</w:t>
            </w:r>
          </w:p>
        </w:tc>
        <w:tc>
          <w:tcPr>
            <w:tcW w:w="121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《个人信用信息基础数据库管理暂行办法》（中国人民银行令[2005]第3号）、《征信机构管理办法》（中国人民银行令[2013]第1号）</w:t>
            </w:r>
          </w:p>
        </w:tc>
        <w:tc>
          <w:tcPr>
            <w:tcW w:w="9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517" w:hRule="atLeast"/>
        </w:trPr>
        <w:tc>
          <w:tcPr>
            <w:tcW w:w="1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1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征信机构</w:t>
            </w:r>
          </w:p>
        </w:tc>
        <w:tc>
          <w:tcPr>
            <w:tcW w:w="881"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0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对征信机构依法合规开展企业和个人征信业务情况进行监督检查</w:t>
            </w:r>
          </w:p>
        </w:tc>
        <w:tc>
          <w:tcPr>
            <w:tcW w:w="32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3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121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921"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r>
      <w:tr>
        <w:tblPrEx>
          <w:tblCellMar>
            <w:top w:w="17" w:type="dxa"/>
            <w:left w:w="17" w:type="dxa"/>
            <w:bottom w:w="17" w:type="dxa"/>
            <w:right w:w="17" w:type="dxa"/>
          </w:tblCellMar>
        </w:tblPrEx>
        <w:trPr>
          <w:trHeight w:val="454" w:hRule="atLeast"/>
        </w:trPr>
        <w:tc>
          <w:tcPr>
            <w:tcW w:w="1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8</w:t>
            </w:r>
          </w:p>
        </w:tc>
        <w:tc>
          <w:tcPr>
            <w:tcW w:w="2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反洗钱类</w:t>
            </w:r>
          </w:p>
        </w:tc>
        <w:tc>
          <w:tcPr>
            <w:tcW w:w="3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人行洛阳市中支（反洗钱部门）</w:t>
            </w:r>
          </w:p>
        </w:tc>
        <w:tc>
          <w:tcPr>
            <w:tcW w:w="21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辖内金融机构</w:t>
            </w: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对执行有关反洗钱规定的行为进行检查监督</w:t>
            </w:r>
          </w:p>
        </w:tc>
        <w:tc>
          <w:tcPr>
            <w:tcW w:w="3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《中华人民共和国中国人民银行法》第三十二条、《中华人民共和国反洗钱法》第八条</w:t>
            </w:r>
          </w:p>
        </w:tc>
        <w:tc>
          <w:tcPr>
            <w:tcW w:w="3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金融机构反洗钱规定》（中国人民银行令〔2006〕第1号）、《金融机构大额交易和可疑交易报告管理办法》（中国人民银行令〔2006〕第2号）、《金融机构报告涉嫌恐怖融资的可疑交易管理办法》（中国人民银行令〔2007〕第1号）、《金融机构客户身份识别和客户身份资料及交易记录保存管理办法》（中国人民银行令2007）2号）、《涉及恐怖活动资产冻结管理办法》（中国人民银行令〔2014〕第1号）</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9</w:t>
            </w:r>
          </w:p>
        </w:tc>
        <w:tc>
          <w:tcPr>
            <w:tcW w:w="2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金融消费权益保护</w:t>
            </w:r>
          </w:p>
        </w:tc>
        <w:tc>
          <w:tcPr>
            <w:tcW w:w="3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人行洛阳市中支（金融消费权益保护部门）</w:t>
            </w:r>
          </w:p>
        </w:tc>
        <w:tc>
          <w:tcPr>
            <w:tcW w:w="21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辖内银行业金融机构</w:t>
            </w:r>
          </w:p>
        </w:tc>
        <w:tc>
          <w:tcPr>
            <w:tcW w:w="11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对金融消费权益保护情况进行检查监督</w:t>
            </w:r>
          </w:p>
        </w:tc>
        <w:tc>
          <w:tcPr>
            <w:tcW w:w="3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《中华人民共和国中国人民银行法》第三十二条、《中华人民共和国消费者权益保护法》第三十三条</w:t>
            </w:r>
          </w:p>
        </w:tc>
        <w:tc>
          <w:tcPr>
            <w:tcW w:w="3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　</w:t>
            </w:r>
          </w:p>
        </w:tc>
        <w:tc>
          <w:tcPr>
            <w:tcW w:w="121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《中华人民共和国中国人民银行法》</w:t>
            </w:r>
          </w:p>
        </w:tc>
        <w:tc>
          <w:tcPr>
            <w:tcW w:w="9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bl>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9605E8D"/>
    <w:rsid w:val="0B214405"/>
    <w:rsid w:val="1BCC4982"/>
    <w:rsid w:val="205675E0"/>
    <w:rsid w:val="2B567744"/>
    <w:rsid w:val="4B2D0BA7"/>
    <w:rsid w:val="55F03F1F"/>
    <w:rsid w:val="60034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2428</Words>
  <Characters>2535</Characters>
  <Lines>9</Lines>
  <Paragraphs>2</Paragraphs>
  <TotalTime>0</TotalTime>
  <ScaleCrop>false</ScaleCrop>
  <LinksUpToDate>false</LinksUpToDate>
  <CharactersWithSpaces>2561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2023-07-17T09:38:50Z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2714B38C665241C1BDC7E89123DE9C55</vt:lpwstr>
  </property>
</Properties>
</file>