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bidi w:val="0"/>
        <w:spacing w:before="0" w:line="240" w:lineRule="auto"/>
        <w:ind w:left="0" w:right="0" w:firstLine="0"/>
        <w:jc w:val="center"/>
        <w:rPr>
          <w:rFonts w:hint="eastAsia" w:ascii="黑体" w:hAnsi="黑体" w:eastAsia="黑体" w:cs="黑体"/>
          <w:spacing w:val="0"/>
          <w:w w:val="100"/>
          <w:kern w:val="0"/>
          <w:position w:val="0"/>
          <w:sz w:val="36"/>
          <w:szCs w:val="36"/>
        </w:rPr>
      </w:pPr>
      <w:bookmarkStart w:id="0" w:name="_GoBack"/>
      <w:r>
        <w:rPr>
          <w:rFonts w:hint="eastAsia" w:ascii="黑体" w:hAnsi="黑体" w:eastAsia="黑体" w:cs="黑体"/>
          <w:spacing w:val="0"/>
          <w:w w:val="100"/>
          <w:kern w:val="0"/>
          <w:position w:val="0"/>
          <w:sz w:val="36"/>
          <w:szCs w:val="36"/>
        </w:rPr>
        <w:t>养老服务综合监管相关部门职责分工</w:t>
      </w:r>
    </w:p>
    <w:bookmarkEnd w:id="0"/>
    <w:p>
      <w:pPr>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发展改革部门依法负责对中央预算内投资支持的养老服务项目建设资金实施管理，对普惠性养老项目实施评估。</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教育部门依照权限负责管理监督考核院校内（技工院校除外）职业技能等级证书的实施。</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公安部门依法负责查处扰乱养老服务机构工作秩序，故意伤害、虐待老年人等侵犯老年人人身权利，以及以养老服务为名实施非法集资和诈骗等侵犯老年人财产权利的违法犯罪行为。加强人口管理信息的共享应用，提升行业监管能力和服务管理效率。</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民政部门依法负责对养老服务机构服务质量、安全、运营的监督管理，推进养老服务标准化体系建设，开展养老服务机构信用监管，以及对社会服务机构性质的养老服务机构和养老服务领域行业组织的登记管理和业务指导监督工作。</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财政部门负责会同发展改革部门、民政部门依法对养老服务机构建设补贴和运营补贴资金使用情况、政府购买养老服务进行监督管理。</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人力资源社会保障部依法负责会同民政部建立完善养老护理员国家职业技能标准，依照职责权限做好院校外和技工院校的职业技能等级证书的监督管理。推动社会保障卡在养老服务领域应用，加强老年人社会保障公共服务的信息共享。</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自然资源部门依法负责对养老服务机构规划用地等进行监督检查。</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生态环境部门依法负责对养老服务机构环境影响评价的审批或者备案，对养老服务机构污染物排放情况进行监督检查。</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住房城乡建设部门依法负责对养老服务设施工程建设质量安全的监督管理，依法负责养老服务设施工程建设标准规范的执行监督。</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卫生健康部门依法负责养老机构设立医疗机构的审批或者备案，对医疗机构的执业活动和医疗卫生服务质量进行监督管理。依法负责指导养老服务机构聚集性传染病处置、突发公共卫生事件的医疗卫生救援和应急工作。依法负责采集、汇聚、存储、应用、共享老年人基本健康医疗数据。</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应急管理部门负责按程序提请本级安全生产委员会将养老服务安全生产监督管理工作纳入对本级政府有关部门和下级人民政府年度安全生产考核。消防救援机构依法负责对养老服务机构实施消防监督检查。</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审计部门依法负责对财政资金的使用情况、政府购买养老服务进行监督检查。</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市场监管部门依法负责查处养老服务机构不执行政府定价、政府指导价和不按规定明码标价等价格违法行为，推动养老服务标准化工作，对营利性养老机构进行登记管理，对养老服务机构的特种设备安全、食品安全进行监督检查。</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医疗保障部门依法负责对纳入医保定点的养老机构内设医疗机构医保基金的使用进行监督管理。</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银保监部门依法负责对银行业、保险业金融机构参与养老服务市场相关行为进行监督管理。指导和督促银行、保险机构做好对涉嫌非法集资风险的排查。</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事业单位登记管理机关依法负责对公办养老机构进行登记管理。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BE0562"/>
    <w:rsid w:val="0CBE0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Heading #2|1"/>
    <w:basedOn w:val="1"/>
    <w:qFormat/>
    <w:uiPriority w:val="0"/>
    <w:pPr>
      <w:widowControl w:val="0"/>
      <w:shd w:val="clear" w:color="auto" w:fill="auto"/>
      <w:spacing w:after="300"/>
      <w:jc w:val="center"/>
      <w:outlineLvl w:val="1"/>
    </w:pPr>
    <w:rPr>
      <w:rFonts w:ascii="宋体" w:hAnsi="宋体" w:eastAsia="宋体" w:cs="宋体"/>
      <w:color w:val="424246"/>
      <w:sz w:val="38"/>
      <w:szCs w:val="38"/>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7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2021-01-12T09:10:00Z</dcterms:created>
  <dc:creator>梦随蝶舞</dc:creator>
  <cp:lastModifiedBy>梦随蝶舞</cp:lastModifiedBy>
  <dcterms:modified xsi:type="dcterms:W3CDTF">2021-01-12T10:13:28Z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