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before="313" w:beforeLines="100" w:line="640" w:lineRule="exact"/>
        <w:jc w:val="center"/>
        <w:textAlignment w:val="auto"/>
        <w:rPr>
          <w:rFonts w:ascii="宋体" w:hAnsi="宋体" w:eastAsia="宋体" w:cs="宋体"/>
          <w:b/>
          <w:color w:val="auto"/>
          <w:spacing w:val="-6"/>
          <w:sz w:val="32"/>
          <w:szCs w:val="32"/>
          <w:highlight w:val="none"/>
        </w:rPr>
      </w:pPr>
      <w:r>
        <w:rPr>
          <w:rFonts w:hint="eastAsia" w:ascii="宋体" w:hAnsi="宋体" w:eastAsia="宋体" w:cs="宋体"/>
          <w:b/>
          <w:color w:val="auto"/>
          <w:spacing w:val="-6"/>
          <w:sz w:val="44"/>
          <w:szCs w:val="44"/>
          <w:highlight w:val="none"/>
        </w:rPr>
        <w:t>秦岭防洪渠污水治理工程绩效评价报告</w:t>
      </w:r>
    </w:p>
    <w:p>
      <w:pPr>
        <w:keepNext w:val="0"/>
        <w:keepLines w:val="0"/>
        <w:pageBreakBefore w:val="0"/>
        <w:widowControl w:val="0"/>
        <w:kinsoku/>
        <w:wordWrap/>
        <w:overflowPunct/>
        <w:topLinePunct w:val="0"/>
        <w:autoSpaceDE/>
        <w:autoSpaceDN/>
        <w:bidi w:val="0"/>
        <w:adjustRightInd/>
        <w:snapToGrid w:val="0"/>
        <w:spacing w:before="313" w:beforeLines="100" w:line="560" w:lineRule="exact"/>
        <w:jc w:val="right"/>
        <w:textAlignment w:val="auto"/>
        <w:rPr>
          <w:rFonts w:hint="eastAsia" w:ascii="宋体" w:hAnsi="宋体" w:cs="宋体"/>
          <w:color w:val="auto"/>
          <w:sz w:val="28"/>
          <w:szCs w:val="28"/>
          <w:highlight w:val="none"/>
        </w:rPr>
      </w:pPr>
      <w:r>
        <w:rPr>
          <w:rFonts w:hint="eastAsia" w:ascii="宋体" w:hAnsi="宋体" w:cs="宋体"/>
          <w:color w:val="auto"/>
          <w:sz w:val="28"/>
          <w:szCs w:val="21"/>
          <w:highlight w:val="none"/>
        </w:rPr>
        <w:t>豫燎旺</w:t>
      </w:r>
      <w:r>
        <w:rPr>
          <w:rFonts w:hint="eastAsia" w:ascii="宋体" w:hAnsi="宋体" w:cs="宋体"/>
          <w:color w:val="auto"/>
          <w:sz w:val="28"/>
          <w:szCs w:val="21"/>
          <w:highlight w:val="none"/>
          <w:lang w:val="en-US" w:eastAsia="zh-CN"/>
        </w:rPr>
        <w:t>绩效评</w:t>
      </w:r>
      <w:r>
        <w:rPr>
          <w:rFonts w:hint="eastAsia" w:ascii="宋体" w:hAnsi="宋体" w:cs="宋体"/>
          <w:color w:val="auto"/>
          <w:sz w:val="28"/>
          <w:szCs w:val="21"/>
          <w:highlight w:val="none"/>
        </w:rPr>
        <w:t>字</w:t>
      </w:r>
      <w:r>
        <w:rPr>
          <w:rFonts w:hint="eastAsia" w:ascii="宋体" w:hAnsi="宋体" w:cs="宋体"/>
          <w:color w:val="auto"/>
          <w:sz w:val="28"/>
          <w:szCs w:val="21"/>
          <w:highlight w:val="none"/>
          <w:lang w:eastAsia="zh-CN"/>
        </w:rPr>
        <w:t>【</w:t>
      </w:r>
      <w:r>
        <w:rPr>
          <w:rFonts w:hint="eastAsia" w:ascii="宋体" w:hAnsi="宋体" w:cs="宋体"/>
          <w:color w:val="auto"/>
          <w:sz w:val="28"/>
          <w:szCs w:val="21"/>
          <w:highlight w:val="none"/>
          <w:lang w:val="en-US" w:eastAsia="zh-CN"/>
        </w:rPr>
        <w:t>2023</w:t>
      </w:r>
      <w:r>
        <w:rPr>
          <w:rFonts w:hint="eastAsia" w:ascii="宋体" w:hAnsi="宋体" w:cs="宋体"/>
          <w:color w:val="auto"/>
          <w:sz w:val="28"/>
          <w:szCs w:val="21"/>
          <w:highlight w:val="none"/>
          <w:lang w:eastAsia="zh-CN"/>
        </w:rPr>
        <w:t>】</w:t>
      </w:r>
      <w:r>
        <w:rPr>
          <w:rFonts w:hint="eastAsia" w:ascii="宋体" w:hAnsi="宋体" w:cs="宋体"/>
          <w:color w:val="auto"/>
          <w:sz w:val="28"/>
          <w:szCs w:val="21"/>
          <w:highlight w:val="none"/>
        </w:rPr>
        <w:t>第</w:t>
      </w:r>
      <w:r>
        <w:rPr>
          <w:rFonts w:hint="eastAsia" w:ascii="宋体" w:hAnsi="宋体" w:cs="宋体"/>
          <w:color w:val="auto"/>
          <w:sz w:val="28"/>
          <w:szCs w:val="21"/>
          <w:highlight w:val="none"/>
          <w:lang w:val="en-US" w:eastAsia="zh-CN"/>
        </w:rPr>
        <w:t>01-007</w:t>
      </w:r>
      <w:r>
        <w:rPr>
          <w:rFonts w:hint="eastAsia" w:ascii="宋体" w:hAnsi="宋体" w:cs="宋体"/>
          <w:color w:val="auto"/>
          <w:sz w:val="28"/>
          <w:szCs w:val="21"/>
          <w:highlight w:val="none"/>
        </w:rPr>
        <w:t>号</w:t>
      </w:r>
    </w:p>
    <w:p>
      <w:pPr>
        <w:keepNext w:val="0"/>
        <w:keepLines w:val="0"/>
        <w:pageBreakBefore w:val="0"/>
        <w:widowControl w:val="0"/>
        <w:kinsoku/>
        <w:wordWrap/>
        <w:overflowPunct/>
        <w:topLinePunct w:val="0"/>
        <w:autoSpaceDE/>
        <w:autoSpaceDN/>
        <w:bidi w:val="0"/>
        <w:adjustRightInd w:val="0"/>
        <w:snapToGrid w:val="0"/>
        <w:spacing w:before="157" w:beforeLines="50" w:line="560" w:lineRule="exact"/>
        <w:jc w:val="left"/>
        <w:textAlignment w:val="auto"/>
        <w:rPr>
          <w:rFonts w:ascii="宋体" w:hAnsi="宋体" w:cs="宋体"/>
          <w:color w:val="auto"/>
          <w:spacing w:val="6"/>
          <w:sz w:val="28"/>
          <w:szCs w:val="28"/>
          <w:highlight w:val="none"/>
        </w:rPr>
      </w:pPr>
      <w:r>
        <w:rPr>
          <w:rFonts w:hint="eastAsia" w:ascii="宋体" w:hAnsi="宋体" w:cs="宋体"/>
          <w:color w:val="auto"/>
          <w:spacing w:val="6"/>
          <w:sz w:val="28"/>
          <w:szCs w:val="28"/>
          <w:highlight w:val="none"/>
        </w:rPr>
        <w:t>洛阳高新区（自贸区洛阳片区、综保区）财政金融部：</w:t>
      </w:r>
    </w:p>
    <w:p>
      <w:pPr>
        <w:keepNext w:val="0"/>
        <w:keepLines w:val="0"/>
        <w:pageBreakBefore w:val="0"/>
        <w:kinsoku/>
        <w:wordWrap/>
        <w:overflowPunct/>
        <w:topLinePunct w:val="0"/>
        <w:autoSpaceDE/>
        <w:autoSpaceDN/>
        <w:bidi w:val="0"/>
        <w:adjustRightInd w:val="0"/>
        <w:spacing w:line="560" w:lineRule="exact"/>
        <w:ind w:left="0" w:leftChars="0" w:firstLine="639" w:firstLineChars="219"/>
        <w:jc w:val="left"/>
        <w:textAlignment w:val="auto"/>
        <w:rPr>
          <w:rFonts w:ascii="宋体" w:hAnsi="宋体" w:cs="宋体"/>
          <w:color w:val="auto"/>
          <w:spacing w:val="6"/>
          <w:sz w:val="28"/>
          <w:szCs w:val="28"/>
          <w:highlight w:val="none"/>
        </w:rPr>
      </w:pPr>
      <w:r>
        <w:rPr>
          <w:rFonts w:hint="eastAsia" w:ascii="宋体" w:hAnsi="宋体" w:cs="宋体"/>
          <w:color w:val="auto"/>
          <w:spacing w:val="6"/>
          <w:sz w:val="28"/>
          <w:szCs w:val="28"/>
          <w:highlight w:val="none"/>
        </w:rPr>
        <w:t>为加强秦岭防洪渠污水治理工程项目财政支出管理，贯彻落实《中共洛阳市委洛阳市人民政府关于全面实施预算绩效管理的实施意见》精神，充分发挥秦岭防洪渠污水治理工程资金使用效益，根据《项目支出绩效评价管理办法》（财预[2020]10号）、《洛阳市市级部门预算绩效目标管理办法》等5个办法的通知（洛财效[2020]3号）、《洛阳市市级预算绩效管理委托第三方机构管理办法》（洛财效[2022]4号）、《洛阳高新区预算项目支出绩效目标管理办法》（洛开财[2019]56号）等文件精神，受贵单位委托，我事务所成立绩效评价工作小组，于2022年9月23日至</w:t>
      </w:r>
      <w:r>
        <w:rPr>
          <w:rFonts w:hint="eastAsia" w:ascii="宋体" w:hAnsi="宋体" w:cs="宋体"/>
          <w:color w:val="auto"/>
          <w:spacing w:val="6"/>
          <w:sz w:val="28"/>
          <w:szCs w:val="28"/>
          <w:highlight w:val="none"/>
          <w:lang w:val="en-US" w:eastAsia="zh-CN"/>
        </w:rPr>
        <w:t>2022年</w:t>
      </w:r>
      <w:r>
        <w:rPr>
          <w:rFonts w:hint="eastAsia" w:ascii="宋体" w:hAnsi="宋体" w:cs="宋体"/>
          <w:color w:val="auto"/>
          <w:spacing w:val="6"/>
          <w:sz w:val="28"/>
          <w:szCs w:val="28"/>
          <w:highlight w:val="none"/>
        </w:rPr>
        <w:t>1</w:t>
      </w:r>
      <w:r>
        <w:rPr>
          <w:rFonts w:hint="eastAsia" w:ascii="宋体" w:hAnsi="宋体" w:cs="宋体"/>
          <w:color w:val="auto"/>
          <w:spacing w:val="6"/>
          <w:sz w:val="28"/>
          <w:szCs w:val="28"/>
          <w:highlight w:val="none"/>
          <w:lang w:val="en-US" w:eastAsia="zh-CN"/>
        </w:rPr>
        <w:t>2</w:t>
      </w:r>
      <w:r>
        <w:rPr>
          <w:rFonts w:hint="eastAsia" w:ascii="宋体" w:hAnsi="宋体" w:cs="宋体"/>
          <w:color w:val="auto"/>
          <w:spacing w:val="6"/>
          <w:sz w:val="28"/>
          <w:szCs w:val="28"/>
          <w:highlight w:val="none"/>
        </w:rPr>
        <w:t>月</w:t>
      </w:r>
      <w:r>
        <w:rPr>
          <w:rFonts w:hint="eastAsia" w:ascii="宋体" w:hAnsi="宋体" w:cs="宋体"/>
          <w:color w:val="auto"/>
          <w:spacing w:val="6"/>
          <w:sz w:val="28"/>
          <w:szCs w:val="28"/>
          <w:highlight w:val="none"/>
          <w:lang w:val="en-US" w:eastAsia="zh-CN"/>
        </w:rPr>
        <w:t>2</w:t>
      </w:r>
      <w:r>
        <w:rPr>
          <w:rFonts w:hint="eastAsia" w:ascii="宋体" w:hAnsi="宋体" w:cs="宋体"/>
          <w:color w:val="auto"/>
          <w:spacing w:val="6"/>
          <w:sz w:val="28"/>
          <w:szCs w:val="28"/>
          <w:highlight w:val="none"/>
        </w:rPr>
        <w:t>6日对秦岭防洪渠污水治理工程项目进行了绩效评价，现将有关情况报告如下：</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2" w:firstLineChars="200"/>
        <w:jc w:val="left"/>
        <w:textAlignment w:val="auto"/>
        <w:rPr>
          <w:rFonts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一、 项目情况</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bCs/>
          <w:color w:val="auto"/>
          <w:sz w:val="28"/>
          <w:szCs w:val="28"/>
          <w:highlight w:val="none"/>
        </w:rPr>
      </w:pPr>
      <w:r>
        <w:rPr>
          <w:rFonts w:hint="eastAsia" w:ascii="宋体" w:hAnsi="宋体" w:eastAsia="宋体" w:cs="宋体"/>
          <w:b w:val="0"/>
          <w:bCs w:val="0"/>
          <w:color w:val="auto"/>
          <w:sz w:val="28"/>
          <w:szCs w:val="28"/>
          <w:highlight w:val="none"/>
        </w:rPr>
        <w:t>（</w:t>
      </w:r>
      <w:r>
        <w:rPr>
          <w:rFonts w:hint="eastAsia" w:ascii="宋体" w:hAnsi="宋体" w:eastAsia="宋体" w:cs="宋体"/>
          <w:b/>
          <w:bCs/>
          <w:color w:val="auto"/>
          <w:sz w:val="28"/>
          <w:szCs w:val="28"/>
          <w:highlight w:val="none"/>
        </w:rPr>
        <w:t>一</w:t>
      </w:r>
      <w:r>
        <w:rPr>
          <w:rFonts w:hint="eastAsia" w:ascii="宋体" w:hAnsi="宋体" w:eastAsia="宋体" w:cs="宋体"/>
          <w:b w:val="0"/>
          <w:bCs w:val="0"/>
          <w:color w:val="auto"/>
          <w:sz w:val="28"/>
          <w:szCs w:val="28"/>
          <w:highlight w:val="none"/>
        </w:rPr>
        <w:t>）项目背景</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84" w:firstLineChars="200"/>
        <w:jc w:val="left"/>
        <w:textAlignment w:val="auto"/>
        <w:rPr>
          <w:rFonts w:ascii="宋体" w:hAnsi="宋体" w:cs="宋体"/>
          <w:color w:val="auto"/>
          <w:spacing w:val="6"/>
          <w:kern w:val="2"/>
          <w:sz w:val="28"/>
          <w:szCs w:val="28"/>
          <w:highlight w:val="none"/>
        </w:rPr>
      </w:pPr>
      <w:r>
        <w:rPr>
          <w:rFonts w:hint="eastAsia" w:ascii="宋体" w:hAnsi="宋体" w:cs="宋体"/>
          <w:color w:val="auto"/>
          <w:spacing w:val="6"/>
          <w:kern w:val="2"/>
          <w:sz w:val="28"/>
          <w:szCs w:val="28"/>
          <w:highlight w:val="none"/>
        </w:rPr>
        <w:t>秦岭防洪渠位于洛阳高新区，是城北水系的“重要成员”，其主要功能是在每年5月至9月洛阳市主汛期时，控制流域范围内的山洪，将山洪排至洛河。2012年起为解决市区西北部水源不足、改善秦岭防洪渠的周边环境、实现“涧西水街”的建设构想，洛阳市启动秦岭防洪渠治理改造工程，当年年底，启动一期“引洛济秦”项目。</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84" w:firstLineChars="200"/>
        <w:jc w:val="left"/>
        <w:textAlignment w:val="auto"/>
        <w:rPr>
          <w:rFonts w:ascii="宋体" w:hAnsi="宋体" w:eastAsia="宋体" w:cs="宋体"/>
          <w:color w:val="auto"/>
          <w:sz w:val="28"/>
          <w:szCs w:val="28"/>
          <w:highlight w:val="none"/>
        </w:rPr>
      </w:pPr>
      <w:r>
        <w:rPr>
          <w:rFonts w:hint="eastAsia" w:ascii="宋体" w:hAnsi="宋体" w:cs="宋体"/>
          <w:color w:val="auto"/>
          <w:spacing w:val="6"/>
          <w:kern w:val="2"/>
          <w:sz w:val="28"/>
          <w:szCs w:val="28"/>
          <w:highlight w:val="none"/>
        </w:rPr>
        <w:t>为加快推进生态环境体系建设，进一步提高洛阳市水生态安全和水环境质量，2017年7月7日《洛阳市“四河同治、三渠联动”实施方案》中提出推动碧水行动计划全面实施，对市域内的伊河、洛河、瀍河、涧河和城市区中州渠、大明渠和铁路防洪渠（简称“四河三渠”），实施以城市“双修”、截污治污、引水补源、河道整治、沿河棚</w:t>
      </w:r>
      <w:r>
        <w:rPr>
          <w:rFonts w:hint="eastAsia" w:ascii="宋体" w:hAnsi="宋体" w:eastAsia="宋体" w:cs="宋体"/>
          <w:color w:val="auto"/>
          <w:sz w:val="28"/>
          <w:szCs w:val="28"/>
          <w:highlight w:val="none"/>
        </w:rPr>
        <w:t>改、路网完善、游园建设为重点的统筹治理，助推洛阳市“9+2”工作布局特别是生态环境体系建设，为实现“四高一强一率先”奋斗目标提供良好的环境支撑。2020年实施秦岭防洪渠污水治理工程。主要内容包括秦岭防洪渠沿线北侧村庄董窑村、柳行村、寺沟村污水排放及传输工程。混凝土污水管道敷设、检查井砌筑及原有路面的破除和恢复。</w:t>
      </w:r>
    </w:p>
    <w:p>
      <w:pPr>
        <w:pStyle w:val="7"/>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项目的实施情况</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项目总投资为4,657,269.51 万元，主要建设单位为洛阳高新技术产业开发区住房和建设管理局</w:t>
      </w:r>
      <w:r>
        <w:rPr>
          <w:rFonts w:hint="eastAsia" w:ascii="宋体" w:hAnsi="宋体" w:eastAsia="宋体" w:cs="宋体"/>
          <w:color w:val="auto"/>
          <w:sz w:val="28"/>
          <w:szCs w:val="28"/>
          <w:highlight w:val="none"/>
          <w:lang w:eastAsia="zh-CN"/>
        </w:rPr>
        <w:t>（前身为洛阳</w:t>
      </w:r>
      <w:r>
        <w:rPr>
          <w:rFonts w:hint="eastAsia" w:ascii="宋体" w:hAnsi="宋体" w:eastAsia="宋体" w:cs="宋体"/>
          <w:color w:val="auto"/>
          <w:sz w:val="28"/>
          <w:szCs w:val="28"/>
          <w:highlight w:val="none"/>
        </w:rPr>
        <w:t>高新区开发建设工程</w:t>
      </w:r>
      <w:r>
        <w:rPr>
          <w:rFonts w:hint="eastAsia" w:ascii="宋体" w:hAnsi="宋体" w:eastAsia="宋体" w:cs="宋体"/>
          <w:color w:val="auto"/>
          <w:sz w:val="28"/>
          <w:szCs w:val="28"/>
          <w:highlight w:val="none"/>
          <w:lang w:eastAsia="zh-CN"/>
        </w:rPr>
        <w:t>局，经过高新区体制机制改革，于2022年3月31日改革为</w:t>
      </w:r>
      <w:r>
        <w:rPr>
          <w:rFonts w:hint="eastAsia" w:ascii="宋体" w:hAnsi="宋体" w:eastAsia="宋体" w:cs="宋体"/>
          <w:color w:val="auto"/>
          <w:sz w:val="28"/>
          <w:szCs w:val="28"/>
          <w:highlight w:val="none"/>
        </w:rPr>
        <w:t>洛阳高新技术产业开发区规划建设部</w:t>
      </w:r>
      <w:r>
        <w:rPr>
          <w:rFonts w:hint="eastAsia" w:ascii="宋体" w:hAnsi="宋体" w:eastAsia="宋体" w:cs="宋体"/>
          <w:color w:val="auto"/>
          <w:sz w:val="28"/>
          <w:szCs w:val="28"/>
          <w:highlight w:val="none"/>
          <w:lang w:eastAsia="zh-CN"/>
        </w:rPr>
        <w:t>（以下简称规划建设部））</w:t>
      </w:r>
      <w:r>
        <w:rPr>
          <w:rFonts w:hint="eastAsia" w:ascii="宋体" w:hAnsi="宋体" w:eastAsia="宋体" w:cs="宋体"/>
          <w:color w:val="auto"/>
          <w:sz w:val="28"/>
          <w:szCs w:val="28"/>
          <w:highlight w:val="none"/>
        </w:rPr>
        <w:t>，设计方为洛阳城市建设勘察设计院有限公司，施工方为河南国禄建设工程有限公司，监理方为河南正源建设工程监理有限公司，各方在签订合同的基础上履行各自的职责和义务。</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2020年2月防洪渠污水治理工程经高新区</w:t>
      </w:r>
      <w:r>
        <w:rPr>
          <w:rFonts w:hint="eastAsia" w:ascii="宋体" w:hAnsi="宋体" w:eastAsia="宋体" w:cs="宋体"/>
          <w:color w:val="auto"/>
          <w:sz w:val="28"/>
          <w:szCs w:val="28"/>
          <w:highlight w:val="none"/>
          <w:lang w:eastAsia="zh-CN"/>
        </w:rPr>
        <w:t>管理委员会（以下简称高新区管</w:t>
      </w:r>
      <w:r>
        <w:rPr>
          <w:rFonts w:hint="eastAsia" w:ascii="宋体" w:hAnsi="宋体" w:eastAsia="宋体" w:cs="宋体"/>
          <w:color w:val="auto"/>
          <w:sz w:val="28"/>
          <w:szCs w:val="28"/>
          <w:highlight w:val="none"/>
        </w:rPr>
        <w:t>委会</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办公室提出，2020年7月、8月委托设计方设计工程施工图，2020年10月完成工程预算评审事宜，2020年10月公开招标，最终确定河南国禄建设工程有限公司为施工方，2020年12月确定河南正源建设工程监理有限公司</w:t>
      </w:r>
      <w:r>
        <w:rPr>
          <w:rFonts w:hint="eastAsia" w:ascii="宋体" w:hAnsi="宋体" w:eastAsia="宋体" w:cs="宋体"/>
          <w:color w:val="auto"/>
          <w:sz w:val="28"/>
          <w:szCs w:val="28"/>
          <w:highlight w:val="none"/>
          <w:lang w:eastAsia="zh-CN"/>
        </w:rPr>
        <w:t>为监理方</w:t>
      </w:r>
      <w:r>
        <w:rPr>
          <w:rFonts w:hint="eastAsia" w:ascii="宋体" w:hAnsi="宋体" w:eastAsia="宋体" w:cs="宋体"/>
          <w:color w:val="auto"/>
          <w:sz w:val="28"/>
          <w:szCs w:val="28"/>
          <w:highlight w:val="none"/>
        </w:rPr>
        <w:t>。</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12月18日工程开工建设，2021年1月8日工程竣工；2021年10月25日洛阳高新技术产业开发区财政投资评审中心对项目进行结算评审。</w:t>
      </w:r>
    </w:p>
    <w:p>
      <w:pPr>
        <w:pStyle w:val="7"/>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资金来源及使用情况</w:t>
      </w:r>
    </w:p>
    <w:p>
      <w:pPr>
        <w:pStyle w:val="7"/>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本项目资金来源为财政资金。本项目总投资</w:t>
      </w:r>
      <w:r>
        <w:rPr>
          <w:rFonts w:hint="eastAsia" w:ascii="宋体" w:hAnsi="宋体" w:eastAsia="宋体" w:cs="宋体"/>
          <w:color w:val="auto"/>
          <w:sz w:val="28"/>
          <w:szCs w:val="28"/>
          <w:highlight w:val="none"/>
          <w:lang w:eastAsia="zh-CN"/>
        </w:rPr>
        <w:t>额</w:t>
      </w:r>
      <w:r>
        <w:rPr>
          <w:rFonts w:hint="eastAsia" w:ascii="宋体" w:hAnsi="宋体" w:eastAsia="宋体" w:cs="宋体"/>
          <w:color w:val="auto"/>
          <w:sz w:val="28"/>
          <w:szCs w:val="28"/>
          <w:highlight w:val="none"/>
        </w:rPr>
        <w:t>为4,657,269.51万元，其中：项目设计费为60,000.00元，监理费为12,000.00元，施工费为4,585,269.51元。</w:t>
      </w:r>
    </w:p>
    <w:p>
      <w:pPr>
        <w:pStyle w:val="7"/>
        <w:keepNext w:val="0"/>
        <w:keepLines w:val="0"/>
        <w:pageBreakBefore w:val="0"/>
        <w:widowControl/>
        <w:kinsoku/>
        <w:wordWrap/>
        <w:overflowPunct/>
        <w:topLinePunct w:val="0"/>
        <w:autoSpaceDE/>
        <w:autoSpaceDN/>
        <w:bidi w:val="0"/>
        <w:adjustRightInd w:val="0"/>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最初施工招标控制价为4,467,097.82元，招标后签订施工合同价为4,417,030.25元，因董窑村过防洪渠段、柳行村过防洪渠段施工设计图未对该地段进行设计，已建管道与新建排水管道不连通，经洽商变更签证后，最终经工程结算审定施工费金额为4,585,269.51元。</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截止2022年1月31日，已支付4,657,269.51元。</w:t>
      </w:r>
    </w:p>
    <w:p>
      <w:pPr>
        <w:pStyle w:val="7"/>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项目设定的绩效目标</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项目总体目标为加强城市基础建设，为居民生活提供公共服务设施。</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项目具体目标为：完成秦岭防洪渠沿线北侧村庄董窑村、柳行村、寺沟村污水排放及传输工程施工，修建污水检查井及地下配套设施。</w:t>
      </w:r>
    </w:p>
    <w:p>
      <w:pPr>
        <w:pStyle w:val="7"/>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560" w:lineRule="exact"/>
        <w:ind w:left="0" w:leftChars="0" w:firstLine="562" w:firstLineChars="200"/>
        <w:jc w:val="left"/>
        <w:textAlignment w:val="auto"/>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绩效评价工作开展情况</w:t>
      </w:r>
    </w:p>
    <w:p>
      <w:pPr>
        <w:pStyle w:val="7"/>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绩效评价目的</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本次绩效评价目的是通过对秦岭防洪渠污水治理项目建设施工、资金使用及执行情况和取得的成效进行评价，紧紧围绕工程项目建设，从立项决策、设计及准备、项目实施到竣工验收交付使用，充分考虑秦岭防洪渠污水治理项目的特点，评价项目在解决秦岭防洪渠周边村庄排污问题、改善防洪渠渠内水质污染状况，提升周边生活环境质量、响应普惠民生的政策等方面取得的成效。全面总结项目执行过程中的经验与问题，进一步规范专项转移支付绩效目标管理，提高财政资金使用效益。</w:t>
      </w:r>
    </w:p>
    <w:p>
      <w:pPr>
        <w:pStyle w:val="7"/>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评价对象和范围</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本次评价的对象为秦岭防洪渠污水治理项目，被评价主体范围为项目建设单位和具体的项目实施单位。</w:t>
      </w:r>
    </w:p>
    <w:p>
      <w:pPr>
        <w:pStyle w:val="7"/>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绩效评价原则、评价指标体系、评价方法</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本次绩效评价秉承科学规范、公平公正、绩效相关等原则，按照从预算编制、过程管理到产出、效果的绩效逻辑路径，按照财政部《项目支出绩效评价管理办法》（财预【2020】10号）和洛阳市财政局关于印发《洛阳市市级部门预算绩效目标管理办法》等5个办法的通知（洛财效（2020）3号）等文件要求结合本项目预算与执行情况，运用定量和定性分析相结合的方法，进行客观公正的评价。</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1、具体评价原则如下：</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（1）科学公正原则：运用科学合理的方法，按照规范的程序，以定量分析为主，客观、公正反映项目绩效。</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（2）相关性原则：绩效评价指标与绩效目标有直接的联系，能够恰当反映目标的实现程度。</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（3）系统性原则：将定量指标与定性指标相结合，系统反映财政支出所产生的社会效益、经济效益、环境效益等。</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（4）经济性原则：通俗易懂、简便易行，数据的获得应当考虑现实条件和可操作性，符合成本效益原则。</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2、评价指标体系</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根据绩效评价的基本原理、原则和项目特点，结合本项目的绩效目标，由评价组制定科学的绩效评价指标体系。包括共性指标和个性指标，共性指标是适用所有绩效评价对象的指标，主要包括预算编制和执行情况，财务管理状况，资产配置、使用、处置及其收益管理情况以及社会效益、经济效益等。个性指标是针对秦岭防洪渠污水治理项目的特点设定的。</w:t>
      </w:r>
    </w:p>
    <w:p>
      <w:pPr>
        <w:pStyle w:val="7"/>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评价方法</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主要使用比较法和公众评判法。分别如下：</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（1）比较法：指将实施情况与绩效目标、历史情况、不同部门和地区同类支出情况进项比较的方法。</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（2）公众评判法：是指通过专家评估、公众问卷及抽样调查等方式进行评判的方法。</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bCs/>
          <w:color w:val="auto"/>
          <w:sz w:val="28"/>
          <w:szCs w:val="28"/>
          <w:highlight w:val="none"/>
        </w:rPr>
      </w:pPr>
      <w:r>
        <w:rPr>
          <w:rFonts w:hint="eastAsia" w:ascii="宋体" w:hAnsi="宋体" w:eastAsia="宋体" w:cs="宋体"/>
          <w:b w:val="0"/>
          <w:bCs w:val="0"/>
          <w:color w:val="auto"/>
          <w:sz w:val="28"/>
          <w:szCs w:val="28"/>
          <w:highlight w:val="none"/>
        </w:rPr>
        <w:t>（四）绩效评价工作过程</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1、前期准备</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cs="宋体"/>
          <w:color w:val="auto"/>
          <w:sz w:val="28"/>
          <w:szCs w:val="28"/>
          <w:highlight w:val="none"/>
        </w:rPr>
        <w:t>2022年</w:t>
      </w:r>
      <w:r>
        <w:rPr>
          <w:rFonts w:hint="eastAsia" w:ascii="宋体" w:hAnsi="宋体" w:cs="宋体"/>
          <w:color w:val="auto"/>
          <w:sz w:val="28"/>
          <w:szCs w:val="28"/>
          <w:highlight w:val="none"/>
          <w:lang w:val="en-US" w:eastAsia="zh-CN"/>
        </w:rPr>
        <w:t>9</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23</w:t>
      </w:r>
      <w:r>
        <w:rPr>
          <w:rFonts w:hint="eastAsia" w:ascii="宋体" w:hAnsi="宋体" w:cs="宋体"/>
          <w:color w:val="auto"/>
          <w:sz w:val="28"/>
          <w:szCs w:val="28"/>
          <w:highlight w:val="none"/>
        </w:rPr>
        <w:t>日，由洛阳高新区（自贸区洛阳片区、综保区）财政金融部牵头，组织项目实施单位相关人员及负责本次绩效评价小组成员召开绩效评价专项会议，明确评价目的。绩效评价小组听取秦岭防洪渠污水治理工程项目汇报，初步收集资料。</w:t>
      </w:r>
    </w:p>
    <w:p>
      <w:pPr>
        <w:pStyle w:val="7"/>
        <w:keepNext w:val="0"/>
        <w:keepLines w:val="0"/>
        <w:pageBreakBefore w:val="0"/>
        <w:widowControl/>
        <w:numPr>
          <w:ilvl w:val="0"/>
          <w:numId w:val="5"/>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组织实施</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2022年10月</w:t>
      </w:r>
      <w:r>
        <w:rPr>
          <w:rFonts w:hint="eastAsia" w:ascii="宋体" w:hAnsi="宋体" w:cs="宋体"/>
          <w:color w:val="auto"/>
          <w:sz w:val="28"/>
          <w:szCs w:val="28"/>
          <w:highlight w:val="none"/>
          <w:lang w:val="en-US" w:eastAsia="zh-CN"/>
        </w:rPr>
        <w:t>8</w:t>
      </w:r>
      <w:r>
        <w:rPr>
          <w:rFonts w:hint="eastAsia" w:ascii="宋体" w:hAnsi="宋体" w:cs="宋体"/>
          <w:color w:val="auto"/>
          <w:sz w:val="28"/>
          <w:szCs w:val="28"/>
          <w:highlight w:val="none"/>
        </w:rPr>
        <w:t>日至2022年1</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26</w:t>
      </w:r>
      <w:r>
        <w:rPr>
          <w:rFonts w:hint="eastAsia" w:ascii="宋体" w:hAnsi="宋体" w:cs="宋体"/>
          <w:color w:val="auto"/>
          <w:sz w:val="28"/>
          <w:szCs w:val="28"/>
          <w:highlight w:val="none"/>
        </w:rPr>
        <w:t>日，绩效评价小组对项目的开展情况进行调研，进一步了解项目实施和开展情况。</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一是</w:t>
      </w:r>
      <w:r>
        <w:rPr>
          <w:rFonts w:hint="eastAsia" w:ascii="宋体" w:hAnsi="宋体" w:eastAsia="宋体" w:cs="宋体"/>
          <w:color w:val="auto"/>
          <w:sz w:val="28"/>
          <w:szCs w:val="28"/>
          <w:highlight w:val="none"/>
        </w:rPr>
        <w:t>数据采集</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评价小组收集了项目档案资料、预算执行资料、招标投标材料、项目管理制度等情况，并开展了财务核查、资料核查工作。</w:t>
      </w:r>
    </w:p>
    <w:p>
      <w:pPr>
        <w:pStyle w:val="7"/>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二是</w:t>
      </w:r>
      <w:r>
        <w:rPr>
          <w:rFonts w:hint="eastAsia" w:ascii="宋体" w:hAnsi="宋体" w:eastAsia="宋体" w:cs="宋体"/>
          <w:color w:val="auto"/>
          <w:sz w:val="28"/>
          <w:szCs w:val="28"/>
          <w:highlight w:val="none"/>
        </w:rPr>
        <w:t>现场抽查、复核</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抽查核实工程鉴证单、材料检测报告、工程项目报审表和其他项目工作记录，实地核查项目产出等情况；随机抽取项目实施区域内的社会公众和基层项目管理相关人员进行问卷调查和人员访谈，核实项目实施和完成情况，并收集对项目工作的建议和意见。</w:t>
      </w:r>
    </w:p>
    <w:p>
      <w:pPr>
        <w:pStyle w:val="7"/>
        <w:keepNext w:val="0"/>
        <w:keepLines w:val="0"/>
        <w:pageBreakBefore w:val="0"/>
        <w:widowControl/>
        <w:tabs>
          <w:tab w:val="left" w:pos="0"/>
        </w:tabs>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三是</w:t>
      </w:r>
      <w:r>
        <w:rPr>
          <w:rFonts w:hint="eastAsia" w:ascii="宋体" w:hAnsi="宋体" w:eastAsia="宋体" w:cs="宋体"/>
          <w:color w:val="auto"/>
          <w:sz w:val="28"/>
          <w:szCs w:val="28"/>
          <w:highlight w:val="none"/>
        </w:rPr>
        <w:t>社会公众满意度调查</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通过问卷星进行问卷调查，调查对象为秦岭防洪渠沿线北侧村庄董窑村、柳行村、寺沟村村民及周边居民，评价项目社会公众满意度。</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分析评价</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2022年1</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26</w:t>
      </w:r>
      <w:r>
        <w:rPr>
          <w:rFonts w:hint="eastAsia" w:ascii="宋体" w:hAnsi="宋体" w:cs="宋体"/>
          <w:color w:val="auto"/>
          <w:sz w:val="28"/>
          <w:szCs w:val="28"/>
          <w:highlight w:val="none"/>
        </w:rPr>
        <w:t>日至202</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年1月</w:t>
      </w: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rPr>
        <w:t>日，绩效评价小组内部沟通项目情况及开展中存在的问题，对相关资料进行综合分析，结合问卷调查、电话访谈情况，分析问题形成原因，得出评价结论，并提出相关改进建议，撰写项目绩效评价报告。</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4、 其他说明</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2022年第四季度</w:t>
      </w:r>
      <w:r>
        <w:rPr>
          <w:rFonts w:hint="eastAsia" w:ascii="宋体" w:hAnsi="宋体" w:cs="宋体"/>
          <w:color w:val="auto"/>
          <w:sz w:val="28"/>
          <w:szCs w:val="28"/>
          <w:highlight w:val="none"/>
          <w:lang w:eastAsia="zh-CN"/>
        </w:rPr>
        <w:t>由于疫情影响，</w:t>
      </w:r>
      <w:r>
        <w:rPr>
          <w:rFonts w:hint="eastAsia" w:ascii="宋体" w:hAnsi="宋体" w:cs="宋体"/>
          <w:color w:val="auto"/>
          <w:sz w:val="28"/>
          <w:szCs w:val="28"/>
          <w:highlight w:val="none"/>
          <w:lang w:val="en-US" w:eastAsia="zh-CN"/>
        </w:rPr>
        <w:t>实际的有效工作时间较短，影响工作进度，本次绩效评价工作延长至2023年1月初完成。</w:t>
      </w:r>
    </w:p>
    <w:p>
      <w:pPr>
        <w:pStyle w:val="7"/>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560" w:lineRule="exact"/>
        <w:ind w:left="0" w:leftChars="0" w:firstLine="562" w:firstLineChars="200"/>
        <w:jc w:val="left"/>
        <w:textAlignment w:val="auto"/>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综合评价情况及评价结论</w:t>
      </w:r>
    </w:p>
    <w:p>
      <w:pPr>
        <w:pStyle w:val="7"/>
        <w:keepNext w:val="0"/>
        <w:keepLines w:val="0"/>
        <w:pageBreakBefore w:val="0"/>
        <w:widowControl/>
        <w:numPr>
          <w:ilvl w:val="0"/>
          <w:numId w:val="6"/>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评价结论</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评价小组对照项目绩效评价指标体系，从项目决策、项目过程、项目产出和项目效益四个维度，通过数据采集、问卷调查及访谈等方式，对秦岭防洪渠污水治理项目绩效进行客观分析，最终项目绩效评价得分为</w:t>
      </w:r>
      <w:r>
        <w:rPr>
          <w:rFonts w:hint="eastAsia" w:ascii="宋体" w:hAnsi="宋体" w:eastAsia="宋体" w:cs="宋体"/>
          <w:color w:val="auto"/>
          <w:sz w:val="28"/>
          <w:szCs w:val="28"/>
          <w:highlight w:val="none"/>
          <w:lang w:val="en-US" w:eastAsia="zh-CN"/>
        </w:rPr>
        <w:t>94.5</w:t>
      </w:r>
      <w:r>
        <w:rPr>
          <w:rFonts w:hint="eastAsia" w:ascii="宋体" w:hAnsi="宋体" w:eastAsia="宋体" w:cs="宋体"/>
          <w:color w:val="auto"/>
          <w:sz w:val="28"/>
          <w:szCs w:val="28"/>
          <w:highlight w:val="none"/>
        </w:rPr>
        <w:t>分。</w:t>
      </w:r>
    </w:p>
    <w:p>
      <w:pPr>
        <w:pStyle w:val="7"/>
        <w:keepNext w:val="0"/>
        <w:keepLines w:val="0"/>
        <w:pageBreakBefore w:val="0"/>
        <w:widowControl/>
        <w:numPr>
          <w:ilvl w:val="0"/>
          <w:numId w:val="6"/>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取得的绩效</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秦岭防洪渠污水治理项目立项合理、规范，立项依据充分，截止2022年01月31日，项目实际支付的工程款、费用4,657,269.51元，预算资金到位100%,预算执行率100%。2021年1月项目竣工，完成董窑村污水检查井49座，寺沟村污水检查井32座，柳行村模块式污水检查井62座，并完成相应的污水管道敷设及原有路面、人行道恢复。实现了三个村庄的污水截流和转输，改善了周边居民的居住环境，取得了一定的社会效益。</w:t>
      </w:r>
    </w:p>
    <w:p>
      <w:pPr>
        <w:pStyle w:val="7"/>
        <w:keepNext w:val="0"/>
        <w:keepLines w:val="0"/>
        <w:pageBreakBefore w:val="0"/>
        <w:widowControl/>
        <w:numPr>
          <w:ilvl w:val="0"/>
          <w:numId w:val="2"/>
        </w:numPr>
        <w:kinsoku/>
        <w:wordWrap/>
        <w:overflowPunct/>
        <w:topLinePunct w:val="0"/>
        <w:autoSpaceDE/>
        <w:autoSpaceDN/>
        <w:bidi w:val="0"/>
        <w:adjustRightInd/>
        <w:snapToGrid/>
        <w:spacing w:before="157" w:beforeLines="50" w:beforeAutospacing="0" w:afterAutospacing="0" w:line="560" w:lineRule="exact"/>
        <w:ind w:left="0" w:leftChars="0" w:firstLine="562" w:firstLineChars="200"/>
        <w:jc w:val="left"/>
        <w:textAlignment w:val="auto"/>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绩效评价指标分析</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本次绩效评价从决策、过程、产出和效益四个方面，分别对20个指标进行评价，具体分析如下：</w:t>
      </w:r>
    </w:p>
    <w:p>
      <w:pPr>
        <w:pStyle w:val="7"/>
        <w:keepNext w:val="0"/>
        <w:keepLines w:val="0"/>
        <w:pageBreakBefore w:val="0"/>
        <w:widowControl/>
        <w:numPr>
          <w:ilvl w:val="0"/>
          <w:numId w:val="7"/>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项目决策情况</w:t>
      </w:r>
    </w:p>
    <w:p>
      <w:pPr>
        <w:pStyle w:val="7"/>
        <w:keepNext w:val="0"/>
        <w:keepLines w:val="0"/>
        <w:pageBreakBefore w:val="0"/>
        <w:widowControl/>
        <w:kinsoku/>
        <w:wordWrap/>
        <w:overflowPunct/>
        <w:topLinePunct w:val="0"/>
        <w:autoSpaceDE/>
        <w:autoSpaceDN/>
        <w:bidi w:val="0"/>
        <w:adjustRightInd/>
        <w:snapToGrid/>
        <w:spacing w:beforeAutospacing="0" w:after="157" w:afterLines="50" w:afterAutospacing="0" w:line="560" w:lineRule="exact"/>
        <w:ind w:left="0" w:leftChars="0" w:firstLine="560" w:firstLineChars="200"/>
        <w:jc w:val="left"/>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项目决策共设置有3个二级指标和5个三级指标，指标得分如下所示：</w:t>
      </w:r>
    </w:p>
    <w:tbl>
      <w:tblPr>
        <w:tblStyle w:val="9"/>
        <w:tblW w:w="481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61"/>
        <w:gridCol w:w="1761"/>
        <w:gridCol w:w="1761"/>
        <w:gridCol w:w="1762"/>
        <w:gridCol w:w="17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999"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一级指标</w:t>
            </w:r>
          </w:p>
        </w:tc>
        <w:tc>
          <w:tcPr>
            <w:tcW w:w="999"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二级指标</w:t>
            </w:r>
          </w:p>
        </w:tc>
        <w:tc>
          <w:tcPr>
            <w:tcW w:w="999"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三级指标</w:t>
            </w:r>
          </w:p>
        </w:tc>
        <w:tc>
          <w:tcPr>
            <w:tcW w:w="999"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权重</w:t>
            </w:r>
          </w:p>
        </w:tc>
        <w:tc>
          <w:tcPr>
            <w:tcW w:w="100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决策</w:t>
            </w:r>
          </w:p>
        </w:tc>
        <w:tc>
          <w:tcPr>
            <w:tcW w:w="999"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项目立项</w:t>
            </w:r>
          </w:p>
        </w:tc>
        <w:tc>
          <w:tcPr>
            <w:tcW w:w="99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立项依据充分性</w:t>
            </w:r>
          </w:p>
        </w:tc>
        <w:tc>
          <w:tcPr>
            <w:tcW w:w="99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立项程序规范性</w:t>
            </w: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000"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绩效目标</w:t>
            </w: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绩效目标合理性</w:t>
            </w: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绩效目标明确性</w:t>
            </w: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资金投入</w:t>
            </w: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预算编制科学性</w:t>
            </w: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bl>
    <w:p>
      <w:pPr>
        <w:pStyle w:val="7"/>
        <w:keepNext w:val="0"/>
        <w:keepLines w:val="0"/>
        <w:pageBreakBefore w:val="0"/>
        <w:widowControl/>
        <w:numPr>
          <w:ilvl w:val="0"/>
          <w:numId w:val="8"/>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项目立项依据充分性：该项权</w:t>
      </w:r>
      <w:r>
        <w:rPr>
          <w:rFonts w:hint="eastAsia" w:ascii="宋体" w:hAnsi="宋体" w:eastAsia="宋体" w:cs="宋体"/>
          <w:color w:val="auto"/>
          <w:sz w:val="28"/>
          <w:szCs w:val="28"/>
          <w:highlight w:val="none"/>
          <w:lang w:eastAsia="zh-CN"/>
        </w:rPr>
        <w:t>重</w:t>
      </w:r>
      <w:r>
        <w:rPr>
          <w:rFonts w:hint="eastAsia" w:ascii="宋体" w:hAnsi="宋体" w:eastAsia="宋体" w:cs="宋体"/>
          <w:color w:val="auto"/>
          <w:sz w:val="28"/>
          <w:szCs w:val="28"/>
          <w:highlight w:val="none"/>
        </w:rPr>
        <w:t>3分，实际得分3分。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2017年7月洛阳市市政府常务会议研究同意制定《洛阳市“四河同治、三渠联动”实施方案》，该方案指出为深入贯彻落实党的十八大和十八届历次全会及中央、省委、市委城市工作会议精神，全面贯彻落实创新、协调、绿色、开放、共享的发展理念，加快推进生态环境体系建设，推动碧水行动计划全面实施，进一步提高洛阳市水生态安全和水环境质量，对市域内的伊河、洛河、瀍河、涧河和城市区中州渠、大明渠和铁路防洪渠（简称“四河三渠”），实施以城市“双修”、截污治污、引水补源、河道整治、沿河棚改、路网完善、游园建设为重点的统筹治理，助推洛阳市“9+2”工作布局特别是生态环境体系建设，为实现“四高一强一率先”奋斗目标提供良好的环境支撑。</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洛阳高新区管委会会议纪要2020[6号]记录了在听取</w:t>
      </w:r>
      <w:r>
        <w:rPr>
          <w:rFonts w:hint="eastAsia" w:ascii="宋体" w:hAnsi="宋体" w:eastAsia="宋体" w:cs="宋体"/>
          <w:color w:val="auto"/>
          <w:sz w:val="28"/>
          <w:szCs w:val="28"/>
          <w:highlight w:val="none"/>
          <w:lang w:eastAsia="zh-CN"/>
        </w:rPr>
        <w:t>高新</w:t>
      </w:r>
      <w:r>
        <w:rPr>
          <w:rFonts w:hint="eastAsia" w:ascii="宋体" w:hAnsi="宋体" w:eastAsia="宋体" w:cs="宋体"/>
          <w:color w:val="auto"/>
          <w:sz w:val="28"/>
          <w:szCs w:val="28"/>
          <w:highlight w:val="none"/>
        </w:rPr>
        <w:t>区开发建设工程局关于生态修复工程项目谋划工作汇报后，经会议逐项研究，同意高新区开发建设工程</w:t>
      </w:r>
      <w:r>
        <w:rPr>
          <w:rFonts w:hint="eastAsia" w:ascii="宋体" w:hAnsi="宋体" w:eastAsia="宋体" w:cs="宋体"/>
          <w:color w:val="auto"/>
          <w:sz w:val="28"/>
          <w:szCs w:val="28"/>
          <w:highlight w:val="none"/>
          <w:lang w:eastAsia="zh-CN"/>
        </w:rPr>
        <w:t>局</w:t>
      </w:r>
      <w:r>
        <w:rPr>
          <w:rFonts w:hint="eastAsia" w:ascii="宋体" w:hAnsi="宋体" w:eastAsia="宋体" w:cs="宋体"/>
          <w:color w:val="auto"/>
          <w:sz w:val="28"/>
          <w:szCs w:val="28"/>
          <w:highlight w:val="none"/>
        </w:rPr>
        <w:t>提出的工程建设方案，会议明确了由高新区开发建设工程局负责秦岭防洪渠治理工程（武汉路-洛河）</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高新区开发建设工程</w:t>
      </w:r>
      <w:r>
        <w:rPr>
          <w:rFonts w:hint="eastAsia" w:ascii="宋体" w:hAnsi="宋体" w:eastAsia="宋体" w:cs="宋体"/>
          <w:color w:val="auto"/>
          <w:sz w:val="28"/>
          <w:szCs w:val="28"/>
          <w:highlight w:val="none"/>
          <w:lang w:eastAsia="zh-CN"/>
        </w:rPr>
        <w:t>局职责为编制城建计划，负责计划执行落实情况的督查工作；指导辖区内水利设施、水域及其岸线的管理、保护与综合利用；负责辖区内水土保持和水生态建设工作等。</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项目立项符合国家法律法规、发展规划，符合高新区开发建设工程局的职责。符合公共财政支持范围。根据评分细则，该指标得分满分。</w:t>
      </w:r>
    </w:p>
    <w:p>
      <w:pPr>
        <w:pStyle w:val="7"/>
        <w:keepNext w:val="0"/>
        <w:keepLines w:val="0"/>
        <w:pageBreakBefore w:val="0"/>
        <w:widowControl/>
        <w:numPr>
          <w:ilvl w:val="0"/>
          <w:numId w:val="8"/>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项目立项程序规范性：该项权</w:t>
      </w:r>
      <w:r>
        <w:rPr>
          <w:rFonts w:hint="eastAsia" w:ascii="宋体" w:hAnsi="宋体" w:eastAsia="宋体" w:cs="宋体"/>
          <w:color w:val="auto"/>
          <w:sz w:val="28"/>
          <w:szCs w:val="28"/>
          <w:highlight w:val="none"/>
          <w:lang w:eastAsia="zh-CN"/>
        </w:rPr>
        <w:t>重</w:t>
      </w:r>
      <w:r>
        <w:rPr>
          <w:rFonts w:hint="eastAsia" w:ascii="宋体" w:hAnsi="宋体" w:eastAsia="宋体" w:cs="宋体"/>
          <w:color w:val="auto"/>
          <w:sz w:val="28"/>
          <w:szCs w:val="28"/>
          <w:highlight w:val="none"/>
        </w:rPr>
        <w:t>3分，实际得分3分。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具体依据为：项目按洛阳市工程建设项目审批流程规定的程序设立，审批文件、材料符合相关规定。根据评分细则，该指标得分3分。</w:t>
      </w:r>
    </w:p>
    <w:p>
      <w:pPr>
        <w:pStyle w:val="7"/>
        <w:keepNext w:val="0"/>
        <w:keepLines w:val="0"/>
        <w:pageBreakBefore w:val="0"/>
        <w:widowControl/>
        <w:numPr>
          <w:ilvl w:val="0"/>
          <w:numId w:val="8"/>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项目绩效目标合理性：该项权</w:t>
      </w:r>
      <w:r>
        <w:rPr>
          <w:rFonts w:hint="eastAsia" w:ascii="宋体" w:hAnsi="宋体" w:eastAsia="宋体" w:cs="宋体"/>
          <w:color w:val="auto"/>
          <w:sz w:val="28"/>
          <w:szCs w:val="28"/>
          <w:highlight w:val="none"/>
          <w:lang w:eastAsia="zh-CN"/>
        </w:rPr>
        <w:t>重</w:t>
      </w:r>
      <w:r>
        <w:rPr>
          <w:rFonts w:hint="eastAsia" w:ascii="宋体" w:hAnsi="宋体" w:eastAsia="宋体" w:cs="宋体"/>
          <w:color w:val="auto"/>
          <w:sz w:val="28"/>
          <w:szCs w:val="28"/>
          <w:highlight w:val="none"/>
        </w:rPr>
        <w:t>3分，实际得1.75分。</w:t>
      </w:r>
    </w:p>
    <w:p>
      <w:pPr>
        <w:pStyle w:val="7"/>
        <w:keepNext w:val="0"/>
        <w:keepLines w:val="0"/>
        <w:pageBreakBefore w:val="0"/>
        <w:widowControl/>
        <w:numPr>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2021年由于部门未单独按项目设置绩效目标，防洪渠污水治理项目2021年未设置绩效目标。2022年防洪渠污水治理项目有绩效目标表，目标表中虽未见项目总体目标与项目具体目标，但根据具体的绩效指标可将总体目标概括为加强城市基础建设，为居民生活提供公共服务设施，具体目标为完成秦岭防洪渠沿线北侧村庄董窑村、柳行村、寺沟村污水排放及传输工程施工，修建污水检查井及地下配套设施，并通过竣工验收。项目绩效目标与实际工作内容相匹配。具体绩效指标中，满意度绩效指标为&gt;100%设置不合理，其余目标设置合理。根据评分细则，该指标得1.75分。</w:t>
      </w:r>
    </w:p>
    <w:p>
      <w:pPr>
        <w:pStyle w:val="7"/>
        <w:keepNext w:val="0"/>
        <w:keepLines w:val="0"/>
        <w:pageBreakBefore w:val="0"/>
        <w:widowControl/>
        <w:numPr>
          <w:ilvl w:val="0"/>
          <w:numId w:val="8"/>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项目绩效目标明确性：该项权</w:t>
      </w:r>
      <w:r>
        <w:rPr>
          <w:rFonts w:hint="eastAsia" w:ascii="宋体" w:hAnsi="宋体" w:eastAsia="宋体" w:cs="宋体"/>
          <w:color w:val="auto"/>
          <w:sz w:val="28"/>
          <w:szCs w:val="28"/>
          <w:highlight w:val="none"/>
          <w:lang w:eastAsia="zh-CN"/>
        </w:rPr>
        <w:t>重</w:t>
      </w:r>
      <w:r>
        <w:rPr>
          <w:rFonts w:hint="eastAsia" w:ascii="宋体" w:hAnsi="宋体" w:eastAsia="宋体" w:cs="宋体"/>
          <w:color w:val="auto"/>
          <w:sz w:val="28"/>
          <w:szCs w:val="28"/>
          <w:highlight w:val="none"/>
        </w:rPr>
        <w:t>3分，实际得分2</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本项目2022年绩效目标中成本指标、产出指标、效益指标、满意度指标均有设置。与项目目标任务书或计划数相对应。绩效目标虽细化分解为具体的绩效指标，但具体绩效指标不够清晰可衡量，在建设规模、建设内容、建设数量、技术标准均未体现。根据评分细则，该指标得2</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分。</w:t>
      </w:r>
    </w:p>
    <w:p>
      <w:pPr>
        <w:pStyle w:val="7"/>
        <w:keepNext w:val="0"/>
        <w:keepLines w:val="0"/>
        <w:pageBreakBefore w:val="0"/>
        <w:widowControl/>
        <w:numPr>
          <w:ilvl w:val="0"/>
          <w:numId w:val="8"/>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w:t>
      </w:r>
      <w:r>
        <w:rPr>
          <w:rFonts w:ascii="宋体" w:hAnsi="宋体" w:eastAsia="宋体" w:cs="宋体"/>
          <w:color w:val="auto"/>
          <w:sz w:val="28"/>
          <w:szCs w:val="28"/>
          <w:highlight w:val="none"/>
        </w:rPr>
        <w:t>预算编制科学性</w:t>
      </w:r>
      <w:r>
        <w:rPr>
          <w:rFonts w:hint="eastAsia" w:ascii="宋体" w:hAnsi="宋体" w:eastAsia="宋体" w:cs="宋体"/>
          <w:color w:val="auto"/>
          <w:sz w:val="28"/>
          <w:szCs w:val="28"/>
          <w:highlight w:val="none"/>
        </w:rPr>
        <w:t>：该项权</w:t>
      </w:r>
      <w:r>
        <w:rPr>
          <w:rFonts w:hint="eastAsia" w:ascii="宋体" w:hAnsi="宋体" w:eastAsia="宋体" w:cs="宋体"/>
          <w:color w:val="auto"/>
          <w:sz w:val="28"/>
          <w:szCs w:val="28"/>
          <w:highlight w:val="none"/>
          <w:lang w:eastAsia="zh-CN"/>
        </w:rPr>
        <w:t>重</w:t>
      </w:r>
      <w:r>
        <w:rPr>
          <w:rFonts w:hint="eastAsia" w:ascii="宋体" w:hAnsi="宋体" w:eastAsia="宋体" w:cs="宋体"/>
          <w:color w:val="auto"/>
          <w:sz w:val="28"/>
          <w:szCs w:val="28"/>
          <w:highlight w:val="none"/>
        </w:rPr>
        <w:t>3分，实际得分3分。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具体依据为：本项目在招标控制价审定之前向相关工程造价公司询价但未获取资料，预算金额与工程任务相匹配，预算内容与项目内容相匹配，金额合理。根据评分细则，该指标得3分。</w:t>
      </w:r>
    </w:p>
    <w:p>
      <w:pPr>
        <w:pStyle w:val="7"/>
        <w:keepNext w:val="0"/>
        <w:keepLines w:val="0"/>
        <w:pageBreakBefore w:val="0"/>
        <w:widowControl/>
        <w:numPr>
          <w:ilvl w:val="0"/>
          <w:numId w:val="7"/>
        </w:numPr>
        <w:kinsoku/>
        <w:wordWrap/>
        <w:overflowPunct/>
        <w:topLinePunct w:val="0"/>
        <w:autoSpaceDE/>
        <w:autoSpaceDN/>
        <w:bidi w:val="0"/>
        <w:adjustRightInd/>
        <w:snapToGrid/>
        <w:spacing w:before="157" w:beforeLines="50"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项目过程情况</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项目过程共设置有2个二级指标和5个三级指标，指标得分如下所示：</w:t>
      </w:r>
    </w:p>
    <w:tbl>
      <w:tblPr>
        <w:tblStyle w:val="9"/>
        <w:tblW w:w="492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01"/>
        <w:gridCol w:w="1801"/>
        <w:gridCol w:w="2107"/>
        <w:gridCol w:w="1774"/>
        <w:gridCol w:w="15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99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一级指标</w:t>
            </w:r>
          </w:p>
        </w:tc>
        <w:tc>
          <w:tcPr>
            <w:tcW w:w="99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二级指标</w:t>
            </w:r>
          </w:p>
        </w:tc>
        <w:tc>
          <w:tcPr>
            <w:tcW w:w="116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三级指标</w:t>
            </w:r>
          </w:p>
        </w:tc>
        <w:tc>
          <w:tcPr>
            <w:tcW w:w="984"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权重</w:t>
            </w:r>
          </w:p>
        </w:tc>
        <w:tc>
          <w:tcPr>
            <w:tcW w:w="84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999"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过程</w:t>
            </w:r>
          </w:p>
        </w:tc>
        <w:tc>
          <w:tcPr>
            <w:tcW w:w="999"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资金管理</w:t>
            </w:r>
          </w:p>
        </w:tc>
        <w:tc>
          <w:tcPr>
            <w:tcW w:w="116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资金到位率</w:t>
            </w:r>
          </w:p>
        </w:tc>
        <w:tc>
          <w:tcPr>
            <w:tcW w:w="98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84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999"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116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预算执行率</w:t>
            </w:r>
          </w:p>
        </w:tc>
        <w:tc>
          <w:tcPr>
            <w:tcW w:w="98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84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54" w:hRule="exact"/>
        </w:trPr>
        <w:tc>
          <w:tcPr>
            <w:tcW w:w="999"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116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资金使用合规性</w:t>
            </w:r>
          </w:p>
        </w:tc>
        <w:tc>
          <w:tcPr>
            <w:tcW w:w="98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84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999"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业务管理</w:t>
            </w:r>
          </w:p>
        </w:tc>
        <w:tc>
          <w:tcPr>
            <w:tcW w:w="116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项目管理制度健全性全</w:t>
            </w:r>
          </w:p>
        </w:tc>
        <w:tc>
          <w:tcPr>
            <w:tcW w:w="984" w:type="pct"/>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847" w:type="pct"/>
            <w:tcBorders>
              <w:top w:val="nil"/>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116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工作规范性</w:t>
            </w:r>
          </w:p>
        </w:tc>
        <w:tc>
          <w:tcPr>
            <w:tcW w:w="984"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847"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4.5</w:t>
            </w:r>
          </w:p>
        </w:tc>
      </w:tr>
    </w:tbl>
    <w:p>
      <w:pPr>
        <w:pStyle w:val="7"/>
        <w:keepNext w:val="0"/>
        <w:keepLines w:val="0"/>
        <w:pageBreakBefore w:val="0"/>
        <w:widowControl/>
        <w:numPr>
          <w:ilvl w:val="0"/>
          <w:numId w:val="9"/>
        </w:numPr>
        <w:kinsoku/>
        <w:wordWrap/>
        <w:overflowPunct/>
        <w:topLinePunct w:val="0"/>
        <w:autoSpaceDE/>
        <w:autoSpaceDN/>
        <w:bidi w:val="0"/>
        <w:adjustRightInd/>
        <w:snapToGrid/>
        <w:spacing w:before="157" w:beforeLines="50"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资金到位率：该项权重分为5分，实际得分5分。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本项目资金为财政资金，防洪渠污水治理项目2021年预算资金包含在部门整体预算里为3,091,921.18元，2021年02月10日洛阳市高新技术产业开发区财政局直接支付。2022年预算资金为1,493,348.33元，2022年01月29日洛阳市高新技术产业开发区财政局直接支付。资金到位率=（实际到位资金/预算资金）*100%，资金到位率100%。根据评分细则，该指标得满分。</w:t>
      </w:r>
    </w:p>
    <w:p>
      <w:pPr>
        <w:pStyle w:val="7"/>
        <w:keepNext w:val="0"/>
        <w:keepLines w:val="0"/>
        <w:pageBreakBefore w:val="0"/>
        <w:widowControl/>
        <w:numPr>
          <w:ilvl w:val="0"/>
          <w:numId w:val="9"/>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预算执行率：该项权重分为5分，实际得分5分。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具体依据为：截至2022年01月31日，该项目实际支付金额为4,657,269.51元，实际到位资金为4,657,269.51元，预算执行率=（实际支付资金/实际到位资金）*100%，预算执行率100%。根据评分细则，该指标得满分。</w:t>
      </w:r>
    </w:p>
    <w:p>
      <w:pPr>
        <w:pStyle w:val="7"/>
        <w:keepNext w:val="0"/>
        <w:keepLines w:val="0"/>
        <w:pageBreakBefore w:val="0"/>
        <w:widowControl/>
        <w:numPr>
          <w:ilvl w:val="0"/>
          <w:numId w:val="9"/>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资金使用合规性：该项权重分为5分，实际得分5分。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该项目资金为财政资金。资金支付给施工单位、设计单位、监理单位等均符合合同规定的用途。资金拨付有完整的申请审批资料和手续，合同、发票、审批手续等资料附于支付凭证后面，符合财务管理制度及有关专项资金管理办法的规定。符合项目预算批复。未发现截留、挤占、挪用、虚报支出等情况。根据评分细则，该指标得5分。</w:t>
      </w:r>
    </w:p>
    <w:p>
      <w:pPr>
        <w:pStyle w:val="7"/>
        <w:keepNext w:val="0"/>
        <w:keepLines w:val="0"/>
        <w:pageBreakBefore w:val="0"/>
        <w:widowControl/>
        <w:numPr>
          <w:ilvl w:val="0"/>
          <w:numId w:val="9"/>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项目管理制度健全</w:t>
      </w:r>
      <w:r>
        <w:rPr>
          <w:rFonts w:hint="eastAsia" w:ascii="宋体" w:hAnsi="宋体" w:eastAsia="宋体" w:cs="宋体"/>
          <w:color w:val="auto"/>
          <w:sz w:val="28"/>
          <w:szCs w:val="28"/>
          <w:highlight w:val="none"/>
          <w:lang w:eastAsia="zh-CN"/>
        </w:rPr>
        <w:t>性</w:t>
      </w:r>
      <w:r>
        <w:rPr>
          <w:rFonts w:hint="eastAsia" w:ascii="宋体" w:hAnsi="宋体" w:eastAsia="宋体" w:cs="宋体"/>
          <w:color w:val="auto"/>
          <w:sz w:val="28"/>
          <w:szCs w:val="28"/>
          <w:highlight w:val="none"/>
        </w:rPr>
        <w:t>：该项权重分为5分，实际得分4分。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具体依据为：本项目主要建设方依据 《高新区住建局工程建设管理相关职责》</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《高新区住建局招投标管理》等制度；施工方建立了《河南国禄建设工程有限公司现场管理制度》</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河南国禄建设工程有限公司秦岭渠截污现场施工组织设计》等现场管理、质量保证体系、各岗位的质量责任制和实施办法；监理方按照《建设工程监理规范》执行监理工作。项目制度合法、合规，对项目顺利实施起到了一定的保障性的作用，但由于高新区体制机制改革及人员调动等原因，部分资料丢失，提供不全，提供的管理制度过于简略，制度中缺乏对工程招投标管理、进度管理、质量管理、安全管理、设计管理、监理管理、工程竣工验收管理、工程管理流程和考核制度的规定。根据评分细则，该指标4分。</w:t>
      </w:r>
    </w:p>
    <w:p>
      <w:pPr>
        <w:pStyle w:val="7"/>
        <w:keepNext w:val="0"/>
        <w:keepLines w:val="0"/>
        <w:pageBreakBefore w:val="0"/>
        <w:widowControl/>
        <w:numPr>
          <w:ilvl w:val="0"/>
          <w:numId w:val="9"/>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工作规范性：该项权重分为5分，实际得分4.5分。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1）洛阳高新技术产业开发区开发建设工程局依据《洛阳高新区住房和建设管理局招投标管理制度》，委托河南省通力建设工程咨询有限公司代为招标，2020年10月23日通过政府采购中心网上备案，经过2020年11月05日和2020年11月17日的两次变更公告，最终于2020年12月04日开标，经过评标工作确定河南国禄建设工程有限公司为中标单位，招投标过程中开标、评标、定标过程规范；（2）2020年12月14日与河南正源建设工程建立有限公司签订合同确定其为工程监理方，设置工程项目总监，监理公司及项目总监对工程质量、费用、安全、进度等进行全程监管，签署工程验证认可书、参与工程竣工预验收</w:t>
      </w:r>
      <w:r>
        <w:rPr>
          <w:rFonts w:hint="eastAsia" w:ascii="宋体" w:hAnsi="宋体" w:eastAsia="宋体" w:cs="宋体"/>
          <w:color w:val="auto"/>
          <w:sz w:val="28"/>
          <w:szCs w:val="28"/>
          <w:highlight w:val="none"/>
          <w:lang w:eastAsia="zh-CN"/>
        </w:rPr>
        <w:t>和</w:t>
      </w:r>
      <w:r>
        <w:rPr>
          <w:rFonts w:hint="eastAsia" w:ascii="宋体" w:hAnsi="宋体" w:eastAsia="宋体" w:cs="宋体"/>
          <w:color w:val="auto"/>
          <w:sz w:val="28"/>
          <w:szCs w:val="28"/>
          <w:highlight w:val="none"/>
        </w:rPr>
        <w:t>相关验收文件</w:t>
      </w:r>
      <w:r>
        <w:rPr>
          <w:rFonts w:hint="eastAsia" w:ascii="宋体" w:hAnsi="宋体" w:eastAsia="宋体" w:cs="宋体"/>
          <w:color w:val="auto"/>
          <w:sz w:val="28"/>
          <w:szCs w:val="28"/>
          <w:highlight w:val="none"/>
          <w:lang w:eastAsia="zh-CN"/>
        </w:rPr>
        <w:t>，提交</w:t>
      </w:r>
      <w:r>
        <w:rPr>
          <w:rFonts w:hint="eastAsia" w:ascii="宋体" w:hAnsi="宋体" w:eastAsia="宋体" w:cs="宋体"/>
          <w:color w:val="auto"/>
          <w:sz w:val="28"/>
          <w:szCs w:val="28"/>
          <w:highlight w:val="none"/>
        </w:rPr>
        <w:t>工程监理报告</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工程监管规范；（3）工程变更有工程洽商记录，有项目变更签证会签表；（4）2021年1月12日竣工验收，验收时施工单位、监理单位、建设单位、设计单位联合在竣工验收证书上盖章签字，证明该工程验收合格。（5）项目主要建设方与设计单位、施工单位、监理单位等各单位签订了项目相关合同，合同内容与实际执行内容基本一致。档案齐全，归档及时、规范。</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评价组抽查项目资料，发现如下问题：①工程洽商记录中监理单位第二页仅签字未盖章，施工单位仅签字未盖章②</w:t>
      </w:r>
      <w:r>
        <w:rPr>
          <w:rFonts w:hint="eastAsia" w:ascii="宋体" w:hAnsi="宋体" w:eastAsia="宋体" w:cs="宋体"/>
          <w:color w:val="auto"/>
          <w:sz w:val="28"/>
          <w:szCs w:val="28"/>
          <w:highlight w:val="none"/>
          <w:lang w:eastAsia="zh-CN"/>
        </w:rPr>
        <w:t>施工单位出具的</w:t>
      </w:r>
      <w:r>
        <w:rPr>
          <w:rFonts w:hint="eastAsia" w:ascii="宋体" w:hAnsi="宋体" w:eastAsia="宋体" w:cs="宋体"/>
          <w:color w:val="auto"/>
          <w:sz w:val="28"/>
          <w:szCs w:val="28"/>
          <w:highlight w:val="none"/>
        </w:rPr>
        <w:t>竣工报告中，单位负责人</w:t>
      </w:r>
      <w:r>
        <w:rPr>
          <w:rFonts w:hint="eastAsia" w:ascii="宋体" w:hAnsi="宋体" w:eastAsia="宋体" w:cs="宋体"/>
          <w:color w:val="auto"/>
          <w:sz w:val="28"/>
          <w:szCs w:val="28"/>
          <w:highlight w:val="none"/>
          <w:lang w:eastAsia="zh-CN"/>
        </w:rPr>
        <w:t>和</w:t>
      </w:r>
      <w:r>
        <w:rPr>
          <w:rFonts w:hint="eastAsia" w:ascii="宋体" w:hAnsi="宋体" w:eastAsia="宋体" w:cs="宋体"/>
          <w:color w:val="auto"/>
          <w:sz w:val="28"/>
          <w:szCs w:val="28"/>
          <w:highlight w:val="none"/>
        </w:rPr>
        <w:t>总监理工程师未签字</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根据评分细则，该指标得分4.5分。</w:t>
      </w:r>
    </w:p>
    <w:p>
      <w:pPr>
        <w:pStyle w:val="7"/>
        <w:keepNext w:val="0"/>
        <w:keepLines w:val="0"/>
        <w:pageBreakBefore w:val="0"/>
        <w:widowControl/>
        <w:numPr>
          <w:ilvl w:val="0"/>
          <w:numId w:val="7"/>
        </w:numPr>
        <w:kinsoku/>
        <w:wordWrap/>
        <w:overflowPunct/>
        <w:topLinePunct w:val="0"/>
        <w:autoSpaceDE/>
        <w:autoSpaceDN/>
        <w:bidi w:val="0"/>
        <w:adjustRightInd/>
        <w:snapToGrid/>
        <w:spacing w:before="157" w:beforeLines="50" w:beforeAutospacing="0" w:afterAutospacing="0" w:line="560" w:lineRule="exact"/>
        <w:ind w:left="0" w:leftChars="0" w:firstLine="560" w:firstLineChars="200"/>
        <w:jc w:val="left"/>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项目产出情况</w:t>
      </w:r>
    </w:p>
    <w:p>
      <w:pPr>
        <w:pStyle w:val="7"/>
        <w:keepNext w:val="0"/>
        <w:keepLines w:val="0"/>
        <w:pageBreakBefore w:val="0"/>
        <w:widowControl/>
        <w:kinsoku/>
        <w:wordWrap/>
        <w:overflowPunct/>
        <w:topLinePunct w:val="0"/>
        <w:autoSpaceDE/>
        <w:autoSpaceDN/>
        <w:bidi w:val="0"/>
        <w:adjustRightInd/>
        <w:snapToGrid/>
        <w:spacing w:beforeAutospacing="0" w:after="157" w:afterLines="50" w:afterAutospacing="0" w:line="560" w:lineRule="exact"/>
        <w:ind w:left="0" w:leftChars="0" w:firstLine="560" w:firstLineChars="200"/>
        <w:jc w:val="left"/>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项目产出共设置有1个二级指标和4个三级指标，指标得分如下所示：</w:t>
      </w:r>
    </w:p>
    <w:tbl>
      <w:tblPr>
        <w:tblStyle w:val="9"/>
        <w:tblW w:w="488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17"/>
        <w:gridCol w:w="1819"/>
        <w:gridCol w:w="1820"/>
        <w:gridCol w:w="1820"/>
        <w:gridCol w:w="16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01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一级指标</w:t>
            </w:r>
          </w:p>
        </w:tc>
        <w:tc>
          <w:tcPr>
            <w:tcW w:w="101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二级指标</w:t>
            </w:r>
          </w:p>
        </w:tc>
        <w:tc>
          <w:tcPr>
            <w:tcW w:w="101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三级指标</w:t>
            </w:r>
          </w:p>
        </w:tc>
        <w:tc>
          <w:tcPr>
            <w:tcW w:w="101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权重</w:t>
            </w:r>
          </w:p>
        </w:tc>
        <w:tc>
          <w:tcPr>
            <w:tcW w:w="92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017" w:type="pct"/>
            <w:vMerge w:val="restart"/>
            <w:tcBorders>
              <w:top w:val="nil"/>
              <w:left w:val="single" w:color="000000" w:sz="8" w:space="0"/>
              <w:bottom w:val="single" w:color="000000" w:sz="8"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w:t>
            </w:r>
          </w:p>
        </w:tc>
        <w:tc>
          <w:tcPr>
            <w:tcW w:w="1018"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建设完成率</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92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017" w:type="pct"/>
            <w:vMerge w:val="continue"/>
            <w:tcBorders>
              <w:top w:val="nil"/>
              <w:left w:val="single" w:color="000000" w:sz="8" w:space="0"/>
              <w:bottom w:val="single" w:color="000000" w:sz="8" w:space="0"/>
              <w:right w:val="nil"/>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1018"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产出质量</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92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017" w:type="pct"/>
            <w:vMerge w:val="continue"/>
            <w:tcBorders>
              <w:top w:val="nil"/>
              <w:left w:val="single" w:color="000000" w:sz="8" w:space="0"/>
              <w:bottom w:val="single" w:color="000000" w:sz="8" w:space="0"/>
              <w:right w:val="nil"/>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1018"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完成及时性</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92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017" w:type="pct"/>
            <w:vMerge w:val="continue"/>
            <w:tcBorders>
              <w:top w:val="nil"/>
              <w:left w:val="single" w:color="000000" w:sz="8" w:space="0"/>
              <w:bottom w:val="single" w:color="000000" w:sz="8" w:space="0"/>
              <w:right w:val="nil"/>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1018"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成本节约率</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92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6.75</w:t>
            </w:r>
          </w:p>
        </w:tc>
      </w:tr>
    </w:tbl>
    <w:p>
      <w:pPr>
        <w:pStyle w:val="7"/>
        <w:keepNext w:val="0"/>
        <w:keepLines w:val="0"/>
        <w:pageBreakBefore w:val="0"/>
        <w:widowControl/>
        <w:numPr>
          <w:ilvl w:val="0"/>
          <w:numId w:val="10"/>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项目建设完成率：该项权重分为7分，实际得分7分。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秦岭防洪渠污水治理工程开工日期为2020年12月18日开工，竣工日期为2021年1月8日，2021年1月12日竣工验收，竣工验收证书载明该工程主要为董窑村圆形砼模块式污水检查井34座，圆形砖砌污水检查井15座，D300</w:t>
      </w:r>
      <w:r>
        <w:rPr>
          <w:rFonts w:ascii="宋体" w:hAnsi="宋体" w:eastAsia="宋体" w:cs="宋体"/>
          <w:color w:val="auto"/>
          <w:sz w:val="28"/>
          <w:szCs w:val="28"/>
          <w:highlight w:val="none"/>
        </w:rPr>
        <w:t>Ⅱ</w:t>
      </w:r>
      <w:r>
        <w:rPr>
          <w:rFonts w:hint="eastAsia" w:ascii="宋体" w:hAnsi="宋体" w:eastAsia="宋体" w:cs="宋体"/>
          <w:color w:val="auto"/>
          <w:sz w:val="28"/>
          <w:szCs w:val="28"/>
          <w:highlight w:val="none"/>
        </w:rPr>
        <w:t>级钢筋混凝土承插口管60米，D500</w:t>
      </w:r>
      <w:r>
        <w:rPr>
          <w:rFonts w:ascii="宋体" w:hAnsi="宋体" w:eastAsia="宋体" w:cs="宋体"/>
          <w:color w:val="auto"/>
          <w:sz w:val="28"/>
          <w:szCs w:val="28"/>
          <w:highlight w:val="none"/>
        </w:rPr>
        <w:t>Ⅱ</w:t>
      </w:r>
      <w:r>
        <w:rPr>
          <w:rFonts w:hint="eastAsia" w:ascii="宋体" w:hAnsi="宋体" w:eastAsia="宋体" w:cs="宋体"/>
          <w:color w:val="auto"/>
          <w:sz w:val="28"/>
          <w:szCs w:val="28"/>
          <w:highlight w:val="none"/>
        </w:rPr>
        <w:t>级钢筋混凝土承插口管1224米，恢复沥青路面22平方米，恢复人行道22平方米；寺沟村圆形砼模块式污水检查井31座，矩形砼模块式四通污水检查井1座，D400</w:t>
      </w:r>
      <w:r>
        <w:rPr>
          <w:rFonts w:ascii="宋体" w:hAnsi="宋体" w:eastAsia="宋体" w:cs="宋体"/>
          <w:color w:val="auto"/>
          <w:sz w:val="28"/>
          <w:szCs w:val="28"/>
          <w:highlight w:val="none"/>
        </w:rPr>
        <w:t>Ⅱ</w:t>
      </w:r>
      <w:r>
        <w:rPr>
          <w:rFonts w:hint="eastAsia" w:ascii="宋体" w:hAnsi="宋体" w:eastAsia="宋体" w:cs="宋体"/>
          <w:color w:val="auto"/>
          <w:sz w:val="28"/>
          <w:szCs w:val="28"/>
          <w:highlight w:val="none"/>
        </w:rPr>
        <w:t>级钢筋混凝土承插口管256米，D500</w:t>
      </w:r>
      <w:r>
        <w:rPr>
          <w:rFonts w:ascii="宋体" w:hAnsi="宋体" w:eastAsia="宋体" w:cs="宋体"/>
          <w:color w:val="auto"/>
          <w:sz w:val="28"/>
          <w:szCs w:val="28"/>
          <w:highlight w:val="none"/>
        </w:rPr>
        <w:t>Ⅱ</w:t>
      </w:r>
      <w:r>
        <w:rPr>
          <w:rFonts w:hint="eastAsia" w:ascii="宋体" w:hAnsi="宋体" w:eastAsia="宋体" w:cs="宋体"/>
          <w:color w:val="auto"/>
          <w:sz w:val="28"/>
          <w:szCs w:val="28"/>
          <w:highlight w:val="none"/>
        </w:rPr>
        <w:t>级钢筋混凝土承插口管1223.3米，恢复村砼路面608平方米；柳行村圆形砼模块式污水检查井38座，圆形砼模块式污水检查井4座，圆形砖砌污水检查井20座，D300</w:t>
      </w:r>
      <w:r>
        <w:rPr>
          <w:rFonts w:ascii="宋体" w:hAnsi="宋体" w:eastAsia="宋体" w:cs="宋体"/>
          <w:color w:val="auto"/>
          <w:sz w:val="28"/>
          <w:szCs w:val="28"/>
          <w:highlight w:val="none"/>
        </w:rPr>
        <w:t>Ⅱ</w:t>
      </w:r>
      <w:r>
        <w:rPr>
          <w:rFonts w:hint="eastAsia" w:ascii="宋体" w:hAnsi="宋体" w:eastAsia="宋体" w:cs="宋体"/>
          <w:color w:val="auto"/>
          <w:sz w:val="28"/>
          <w:szCs w:val="28"/>
          <w:highlight w:val="none"/>
        </w:rPr>
        <w:t>级钢筋混凝土承插口管85米，D500</w:t>
      </w:r>
      <w:r>
        <w:rPr>
          <w:rFonts w:ascii="宋体" w:hAnsi="宋体" w:eastAsia="宋体" w:cs="宋体"/>
          <w:color w:val="auto"/>
          <w:sz w:val="28"/>
          <w:szCs w:val="28"/>
          <w:highlight w:val="none"/>
        </w:rPr>
        <w:t>Ⅱ</w:t>
      </w:r>
      <w:r>
        <w:rPr>
          <w:rFonts w:hint="eastAsia" w:ascii="宋体" w:hAnsi="宋体" w:eastAsia="宋体" w:cs="宋体"/>
          <w:color w:val="auto"/>
          <w:sz w:val="28"/>
          <w:szCs w:val="28"/>
          <w:highlight w:val="none"/>
        </w:rPr>
        <w:t>级钢筋砼承插口管1151米，恢复沥青路面35平方米，恢复人行道30平方米。工程竣工验收时施工单位、监理单位、建设单位、设计单位共同出具竣工验收证书</w:t>
      </w:r>
      <w:r>
        <w:rPr>
          <w:rFonts w:hint="eastAsia" w:ascii="宋体" w:hAnsi="宋体" w:eastAsia="宋体" w:cs="宋体"/>
          <w:color w:val="auto"/>
          <w:sz w:val="28"/>
          <w:szCs w:val="28"/>
          <w:highlight w:val="none"/>
          <w:lang w:eastAsia="zh-CN"/>
        </w:rPr>
        <w:t>证明</w:t>
      </w:r>
      <w:r>
        <w:rPr>
          <w:rFonts w:hint="eastAsia" w:ascii="宋体" w:hAnsi="宋体" w:eastAsia="宋体" w:cs="宋体"/>
          <w:color w:val="auto"/>
          <w:sz w:val="28"/>
          <w:szCs w:val="28"/>
          <w:highlight w:val="none"/>
        </w:rPr>
        <w:t>工程按照设计文件的计划数及合同约定完成。根据评分细则，该指标得满分。</w:t>
      </w:r>
    </w:p>
    <w:p>
      <w:pPr>
        <w:pStyle w:val="7"/>
        <w:keepNext w:val="0"/>
        <w:keepLines w:val="0"/>
        <w:pageBreakBefore w:val="0"/>
        <w:widowControl/>
        <w:numPr>
          <w:ilvl w:val="0"/>
          <w:numId w:val="10"/>
        </w:numPr>
        <w:tabs>
          <w:tab w:val="left" w:pos="210"/>
        </w:tabs>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项目产出质量：该项权重分为7分，实际得分7分。</w:t>
      </w:r>
    </w:p>
    <w:p>
      <w:pPr>
        <w:pStyle w:val="7"/>
        <w:keepNext w:val="0"/>
        <w:keepLines w:val="0"/>
        <w:pageBreakBefore w:val="0"/>
        <w:widowControl/>
        <w:numPr>
          <w:ilvl w:val="0"/>
          <w:numId w:val="0"/>
        </w:numPr>
        <w:tabs>
          <w:tab w:val="left" w:pos="210"/>
        </w:tabs>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1）评价组未发现质量事故处理相关事项。（2）竣工文件第二册原材料、成品半成品、构配件设备检验均合格。（3）竣工文件第六册分部分项质量验收中第一部分分项验收中，污水沟槽、路床、基层、面层、排水工程等均符合规范要求。（4）2021年1月12日竣工验收时出具竣工验收证书，证明该工程验收合格。根据评分细则，该指标得满分。</w:t>
      </w:r>
    </w:p>
    <w:p>
      <w:pPr>
        <w:pStyle w:val="7"/>
        <w:keepNext w:val="0"/>
        <w:keepLines w:val="0"/>
        <w:pageBreakBefore w:val="0"/>
        <w:widowControl/>
        <w:numPr>
          <w:ilvl w:val="0"/>
          <w:numId w:val="10"/>
        </w:numPr>
        <w:tabs>
          <w:tab w:val="left" w:pos="210"/>
        </w:tabs>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项目完成及时性：项权重分为7分，实际得分7分。</w:t>
      </w:r>
    </w:p>
    <w:p>
      <w:pPr>
        <w:pStyle w:val="7"/>
        <w:keepNext w:val="0"/>
        <w:keepLines w:val="0"/>
        <w:pageBreakBefore w:val="0"/>
        <w:widowControl/>
        <w:numPr>
          <w:ilvl w:val="0"/>
          <w:numId w:val="0"/>
        </w:numPr>
        <w:tabs>
          <w:tab w:val="left" w:pos="210"/>
        </w:tabs>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该项目主要工程完成情况如下：（1）施工合同约定工期为30天，计划开工日期为2020年12月18日，与实际开工日期一致，计划竣工日期为2021年01月16日，实际竣工日期为2021年1月8日，提前竣工。根据评分细则，该指标得满分。</w:t>
      </w:r>
    </w:p>
    <w:p>
      <w:pPr>
        <w:pStyle w:val="7"/>
        <w:keepNext w:val="0"/>
        <w:keepLines w:val="0"/>
        <w:pageBreakBefore w:val="0"/>
        <w:widowControl/>
        <w:numPr>
          <w:ilvl w:val="0"/>
          <w:numId w:val="10"/>
        </w:numPr>
        <w:tabs>
          <w:tab w:val="left" w:pos="210"/>
        </w:tabs>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成本节约率：该项权重分为7分，实际得分6.7</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分。</w:t>
      </w:r>
    </w:p>
    <w:p>
      <w:pPr>
        <w:pStyle w:val="7"/>
        <w:keepNext w:val="0"/>
        <w:keepLines w:val="0"/>
        <w:pageBreakBefore w:val="0"/>
        <w:widowControl/>
        <w:numPr>
          <w:ilvl w:val="0"/>
          <w:numId w:val="0"/>
        </w:numPr>
        <w:tabs>
          <w:tab w:val="left" w:pos="210"/>
        </w:tabs>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评价组抽查比较该项目主要合同金额与决算金额、控制价金额、实际支付金额，检查工程、监理、设计等合同合计4份，施工合同金额为4,417,030.25元，决算金额为4,585,269.51元，工程款项有追加，根据评分细则，该指标得分6.7</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分。</w:t>
      </w:r>
    </w:p>
    <w:p>
      <w:pPr>
        <w:pStyle w:val="7"/>
        <w:keepNext w:val="0"/>
        <w:keepLines w:val="0"/>
        <w:pageBreakBefore w:val="0"/>
        <w:widowControl/>
        <w:numPr>
          <w:ilvl w:val="0"/>
          <w:numId w:val="7"/>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项目效益情况</w:t>
      </w:r>
    </w:p>
    <w:p>
      <w:pPr>
        <w:pStyle w:val="7"/>
        <w:keepNext w:val="0"/>
        <w:keepLines w:val="0"/>
        <w:pageBreakBefore w:val="0"/>
        <w:widowControl/>
        <w:kinsoku/>
        <w:wordWrap/>
        <w:overflowPunct/>
        <w:topLinePunct w:val="0"/>
        <w:autoSpaceDE/>
        <w:autoSpaceDN/>
        <w:bidi w:val="0"/>
        <w:adjustRightInd/>
        <w:snapToGrid/>
        <w:spacing w:beforeAutospacing="0" w:after="157" w:afterLines="50" w:afterAutospacing="0" w:line="560" w:lineRule="exact"/>
        <w:ind w:left="0" w:leftChars="0" w:firstLine="560" w:firstLineChars="200"/>
        <w:jc w:val="left"/>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项目效益共设置有</w:t>
      </w:r>
      <w:r>
        <w:rPr>
          <w:rFonts w:hint="eastAsia" w:ascii="宋体" w:hAnsi="宋体" w:eastAsia="宋体" w:cs="宋体"/>
          <w:b w:val="0"/>
          <w:bCs w:val="0"/>
          <w:color w:val="auto"/>
          <w:sz w:val="28"/>
          <w:szCs w:val="28"/>
          <w:highlight w:val="none"/>
          <w:lang w:val="en-US" w:eastAsia="zh-CN"/>
        </w:rPr>
        <w:t>4</w:t>
      </w:r>
      <w:r>
        <w:rPr>
          <w:rFonts w:hint="eastAsia" w:ascii="宋体" w:hAnsi="宋体" w:eastAsia="宋体" w:cs="宋体"/>
          <w:b w:val="0"/>
          <w:bCs w:val="0"/>
          <w:color w:val="auto"/>
          <w:sz w:val="28"/>
          <w:szCs w:val="28"/>
          <w:highlight w:val="none"/>
        </w:rPr>
        <w:t>个二级指标和</w:t>
      </w:r>
      <w:r>
        <w:rPr>
          <w:rFonts w:hint="eastAsia" w:ascii="宋体" w:hAnsi="宋体" w:eastAsia="宋体" w:cs="宋体"/>
          <w:b w:val="0"/>
          <w:bCs w:val="0"/>
          <w:color w:val="auto"/>
          <w:sz w:val="28"/>
          <w:szCs w:val="28"/>
          <w:highlight w:val="none"/>
          <w:lang w:val="en-US" w:eastAsia="zh-CN"/>
        </w:rPr>
        <w:t>6</w:t>
      </w:r>
      <w:r>
        <w:rPr>
          <w:rFonts w:hint="eastAsia" w:ascii="宋体" w:hAnsi="宋体" w:eastAsia="宋体" w:cs="宋体"/>
          <w:b w:val="0"/>
          <w:bCs w:val="0"/>
          <w:color w:val="auto"/>
          <w:sz w:val="28"/>
          <w:szCs w:val="28"/>
          <w:highlight w:val="none"/>
        </w:rPr>
        <w:t>个三级指标，指标得分如下所示：</w:t>
      </w:r>
    </w:p>
    <w:tbl>
      <w:tblPr>
        <w:tblStyle w:val="9"/>
        <w:tblW w:w="485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72"/>
        <w:gridCol w:w="1773"/>
        <w:gridCol w:w="2552"/>
        <w:gridCol w:w="1311"/>
        <w:gridCol w:w="14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blHeader/>
        </w:trPr>
        <w:tc>
          <w:tcPr>
            <w:tcW w:w="99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一级指标</w:t>
            </w:r>
          </w:p>
        </w:tc>
        <w:tc>
          <w:tcPr>
            <w:tcW w:w="99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二级指标</w:t>
            </w:r>
          </w:p>
        </w:tc>
        <w:tc>
          <w:tcPr>
            <w:tcW w:w="143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三级指标</w:t>
            </w:r>
          </w:p>
        </w:tc>
        <w:tc>
          <w:tcPr>
            <w:tcW w:w="73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权重</w:t>
            </w:r>
          </w:p>
        </w:tc>
        <w:tc>
          <w:tcPr>
            <w:tcW w:w="82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54" w:hRule="exact"/>
        </w:trPr>
        <w:tc>
          <w:tcPr>
            <w:tcW w:w="999"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效益</w:t>
            </w:r>
          </w:p>
        </w:tc>
        <w:tc>
          <w:tcPr>
            <w:tcW w:w="999"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社会效益</w:t>
            </w:r>
          </w:p>
        </w:tc>
        <w:tc>
          <w:tcPr>
            <w:tcW w:w="14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居住环境的改善度</w:t>
            </w:r>
          </w:p>
        </w:tc>
        <w:tc>
          <w:tcPr>
            <w:tcW w:w="73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14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排污方便</w:t>
            </w:r>
          </w:p>
        </w:tc>
        <w:tc>
          <w:tcPr>
            <w:tcW w:w="73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环境效益</w:t>
            </w:r>
          </w:p>
        </w:tc>
        <w:tc>
          <w:tcPr>
            <w:tcW w:w="14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秦岭防洪渠内水质环境</w:t>
            </w:r>
          </w:p>
        </w:tc>
        <w:tc>
          <w:tcPr>
            <w:tcW w:w="73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可持续影响</w:t>
            </w:r>
          </w:p>
        </w:tc>
        <w:tc>
          <w:tcPr>
            <w:tcW w:w="14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污水转输管道可使用年限</w:t>
            </w:r>
          </w:p>
        </w:tc>
        <w:tc>
          <w:tcPr>
            <w:tcW w:w="73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w:t>
            </w:r>
          </w:p>
        </w:tc>
        <w:tc>
          <w:tcPr>
            <w:tcW w:w="14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村民满意度</w:t>
            </w:r>
          </w:p>
        </w:tc>
        <w:tc>
          <w:tcPr>
            <w:tcW w:w="739"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823"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999"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14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附近居民满意度</w:t>
            </w:r>
          </w:p>
        </w:tc>
        <w:tc>
          <w:tcPr>
            <w:tcW w:w="739"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c>
          <w:tcPr>
            <w:tcW w:w="823"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宋体" w:hAnsi="宋体" w:eastAsia="宋体" w:cs="宋体"/>
                <w:i w:val="0"/>
                <w:iCs w:val="0"/>
                <w:color w:val="auto"/>
                <w:sz w:val="20"/>
                <w:szCs w:val="20"/>
                <w:highlight w:val="none"/>
                <w:u w:val="none"/>
              </w:rPr>
            </w:pPr>
          </w:p>
        </w:tc>
      </w:tr>
    </w:tbl>
    <w:p>
      <w:pPr>
        <w:pStyle w:val="7"/>
        <w:keepNext w:val="0"/>
        <w:keepLines w:val="0"/>
        <w:pageBreakBefore w:val="0"/>
        <w:widowControl/>
        <w:numPr>
          <w:ilvl w:val="0"/>
          <w:numId w:val="11"/>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居住环境的改善度：该项权重分为6分，实际得分</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具体依据为：评价组使用问卷星通过规划</w:t>
      </w:r>
      <w:r>
        <w:rPr>
          <w:rFonts w:hint="eastAsia" w:ascii="宋体" w:hAnsi="宋体" w:eastAsia="宋体" w:cs="宋体"/>
          <w:color w:val="auto"/>
          <w:sz w:val="28"/>
          <w:szCs w:val="28"/>
          <w:highlight w:val="none"/>
          <w:lang w:eastAsia="zh-CN"/>
        </w:rPr>
        <w:t>建设</w:t>
      </w:r>
      <w:r>
        <w:rPr>
          <w:rFonts w:hint="eastAsia" w:ascii="宋体" w:hAnsi="宋体" w:eastAsia="宋体" w:cs="宋体"/>
          <w:color w:val="auto"/>
          <w:sz w:val="28"/>
          <w:szCs w:val="28"/>
          <w:highlight w:val="none"/>
        </w:rPr>
        <w:t>部向秦岭防洪渠沿线北侧村庄董窑村、柳行村、寺沟村及周边居民用微信方式发放调查问卷，最终收到有效问卷20份，问题8秦岭防洪渠沿线污水管道及检查井建立后生活环境发生了什么变化？选择环境变好</w:t>
      </w:r>
      <w:r>
        <w:rPr>
          <w:rFonts w:hint="eastAsia" w:ascii="宋体" w:hAnsi="宋体" w:eastAsia="宋体" w:cs="宋体"/>
          <w:color w:val="auto"/>
          <w:sz w:val="28"/>
          <w:szCs w:val="28"/>
          <w:highlight w:val="none"/>
          <w:lang w:val="en-US" w:eastAsia="zh-CN"/>
        </w:rPr>
        <w:t>15人</w:t>
      </w:r>
      <w:r>
        <w:rPr>
          <w:rFonts w:hint="eastAsia" w:ascii="宋体" w:hAnsi="宋体" w:eastAsia="宋体" w:cs="宋体"/>
          <w:color w:val="auto"/>
          <w:sz w:val="28"/>
          <w:szCs w:val="28"/>
          <w:highlight w:val="none"/>
        </w:rPr>
        <w:t>占比75%，选择环境无变化和环境变差的为0</w:t>
      </w:r>
      <w:r>
        <w:rPr>
          <w:rFonts w:hint="eastAsia" w:ascii="宋体" w:hAnsi="宋体" w:eastAsia="宋体" w:cs="宋体"/>
          <w:color w:val="auto"/>
          <w:sz w:val="28"/>
          <w:szCs w:val="28"/>
          <w:highlight w:val="none"/>
          <w:lang w:eastAsia="zh-CN"/>
        </w:rPr>
        <w:t>人</w:t>
      </w:r>
      <w:r>
        <w:rPr>
          <w:rFonts w:hint="eastAsia" w:ascii="宋体" w:hAnsi="宋体" w:eastAsia="宋体" w:cs="宋体"/>
          <w:color w:val="auto"/>
          <w:sz w:val="28"/>
          <w:szCs w:val="28"/>
          <w:highlight w:val="none"/>
        </w:rPr>
        <w:t>，选择其他的</w:t>
      </w:r>
      <w:r>
        <w:rPr>
          <w:rFonts w:hint="eastAsia" w:ascii="宋体" w:hAnsi="宋体" w:eastAsia="宋体" w:cs="宋体"/>
          <w:color w:val="auto"/>
          <w:sz w:val="28"/>
          <w:szCs w:val="28"/>
          <w:highlight w:val="none"/>
          <w:lang w:val="en-US" w:eastAsia="zh-CN"/>
        </w:rPr>
        <w:t>5人</w:t>
      </w:r>
      <w:r>
        <w:rPr>
          <w:rFonts w:hint="eastAsia" w:ascii="宋体" w:hAnsi="宋体" w:eastAsia="宋体" w:cs="宋体"/>
          <w:color w:val="auto"/>
          <w:sz w:val="28"/>
          <w:szCs w:val="28"/>
          <w:highlight w:val="none"/>
        </w:rPr>
        <w:t>占比25%。表明秦岭防洪渠污水治理工程改善了周边的居住环境，使周边环境变好，适宜居住。根据评分细则，该指标得</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分。</w:t>
      </w:r>
    </w:p>
    <w:p>
      <w:pPr>
        <w:pStyle w:val="7"/>
        <w:keepNext w:val="0"/>
        <w:keepLines w:val="0"/>
        <w:pageBreakBefore w:val="0"/>
        <w:widowControl/>
        <w:numPr>
          <w:ilvl w:val="0"/>
          <w:numId w:val="11"/>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color w:val="auto"/>
          <w:sz w:val="28"/>
          <w:szCs w:val="28"/>
          <w:highlight w:val="none"/>
        </w:rPr>
        <w:t>排污方便度：</w:t>
      </w:r>
      <w:r>
        <w:rPr>
          <w:rFonts w:hint="eastAsia" w:ascii="宋体" w:hAnsi="宋体" w:eastAsia="宋体" w:cs="宋体"/>
          <w:color w:val="auto"/>
          <w:sz w:val="28"/>
          <w:szCs w:val="28"/>
          <w:highlight w:val="none"/>
        </w:rPr>
        <w:t>该项权重分为6分，实际得分6分。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具体依据为：问卷调查问题7秦岭防洪渠沿线污水管道及检查井建立后，排放污水方便么？选择方便的占比75%，选择不方便的为0，选择其他的占比25%。表明秦岭防洪渠污水管道及检查井修建以后，排污方便。根据评分细则，该指标得6分。</w:t>
      </w:r>
    </w:p>
    <w:p>
      <w:pPr>
        <w:pStyle w:val="7"/>
        <w:keepNext w:val="0"/>
        <w:keepLines w:val="0"/>
        <w:pageBreakBefore w:val="0"/>
        <w:widowControl/>
        <w:numPr>
          <w:ilvl w:val="0"/>
          <w:numId w:val="11"/>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color w:val="auto"/>
          <w:sz w:val="28"/>
          <w:szCs w:val="28"/>
          <w:highlight w:val="none"/>
        </w:rPr>
        <w:t>秦岭防洪渠内水质环境：</w:t>
      </w:r>
      <w:r>
        <w:rPr>
          <w:rFonts w:hint="eastAsia" w:ascii="宋体" w:hAnsi="宋体" w:eastAsia="宋体" w:cs="宋体"/>
          <w:color w:val="auto"/>
          <w:sz w:val="28"/>
          <w:szCs w:val="28"/>
          <w:highlight w:val="none"/>
        </w:rPr>
        <w:t>该项权重分为6分，实际得分</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eastAsiaTheme="minorEastAsia"/>
          <w:color w:val="auto"/>
          <w:sz w:val="28"/>
          <w:szCs w:val="28"/>
          <w:highlight w:val="none"/>
          <w:lang w:eastAsia="zh-CN"/>
        </w:rPr>
      </w:pPr>
      <w:r>
        <w:rPr>
          <w:rFonts w:hint="eastAsia" w:ascii="宋体" w:hAnsi="宋体" w:eastAsia="宋体" w:cs="宋体"/>
          <w:color w:val="auto"/>
          <w:sz w:val="28"/>
          <w:szCs w:val="28"/>
          <w:highlight w:val="none"/>
        </w:rPr>
        <w:t>具体依据为：评价组现场查看秦岭渠内情况，因秦岭渠整体施工项目尚未完成，周边环境出于未施工完成状态，渠内水</w:t>
      </w:r>
      <w:r>
        <w:rPr>
          <w:rFonts w:hint="eastAsia" w:ascii="宋体" w:hAnsi="宋体" w:eastAsia="宋体" w:cs="宋体"/>
          <w:color w:val="auto"/>
          <w:sz w:val="28"/>
          <w:szCs w:val="28"/>
          <w:highlight w:val="none"/>
          <w:lang w:eastAsia="zh-CN"/>
        </w:rPr>
        <w:t>量</w:t>
      </w:r>
      <w:r>
        <w:rPr>
          <w:rFonts w:hint="eastAsia" w:ascii="宋体" w:hAnsi="宋体" w:eastAsia="宋体" w:cs="宋体"/>
          <w:color w:val="auto"/>
          <w:sz w:val="28"/>
          <w:szCs w:val="28"/>
          <w:highlight w:val="none"/>
        </w:rPr>
        <w:t>较少，</w:t>
      </w:r>
      <w:r>
        <w:rPr>
          <w:rFonts w:hint="eastAsia"/>
          <w:color w:val="auto"/>
          <w:sz w:val="28"/>
          <w:szCs w:val="28"/>
          <w:highlight w:val="none"/>
        </w:rPr>
        <w:t>无法判断修建污水管道后水质与修建前相比改善程度。使用问卷调查方式判断目前水质与修建污水管道之前水质变化程度。</w:t>
      </w:r>
      <w:r>
        <w:rPr>
          <w:rFonts w:hint="eastAsia" w:ascii="宋体" w:hAnsi="宋体" w:eastAsia="宋体" w:cs="宋体"/>
          <w:color w:val="auto"/>
          <w:sz w:val="28"/>
          <w:szCs w:val="28"/>
          <w:highlight w:val="none"/>
        </w:rPr>
        <w:t>问卷调查问题5：2021年1月修建秦岭防洪渠沿线污水管道及检查井以前，污水是怎么排放的？选择直接排放至渠中12人占比60%，选择沿街排放的4人占比20%，选择其他方式的4人占比20%；问卷调查问题6：2021年1月修建秦岭防洪渠沿线污水管道及检查井之后，污水是怎么排放的？选择直接排放至渠中1人占比5%，选择通过污水管道排放的17人占比85%，选择沿街排放的0人，选择其他方式的2人占比10%代表无法表示意见。5和6结合对比可以反映出修建污水管道以后，秦岭北侧村庄及周边污水绝大部分都通过污水管道排放、转输，排放至渠内的污水较之前较少，</w:t>
      </w:r>
      <w:r>
        <w:rPr>
          <w:rFonts w:hint="eastAsia"/>
          <w:color w:val="auto"/>
          <w:sz w:val="28"/>
          <w:szCs w:val="28"/>
          <w:highlight w:val="none"/>
        </w:rPr>
        <w:t>水质较好。根据评分细则，该指标得</w:t>
      </w:r>
      <w:r>
        <w:rPr>
          <w:rFonts w:hint="eastAsia"/>
          <w:color w:val="auto"/>
          <w:sz w:val="28"/>
          <w:szCs w:val="28"/>
          <w:highlight w:val="none"/>
          <w:lang w:val="en-US" w:eastAsia="zh-CN"/>
        </w:rPr>
        <w:t>5</w:t>
      </w:r>
      <w:r>
        <w:rPr>
          <w:rFonts w:hint="eastAsia"/>
          <w:color w:val="auto"/>
          <w:sz w:val="28"/>
          <w:szCs w:val="28"/>
          <w:highlight w:val="none"/>
        </w:rPr>
        <w:t>分</w:t>
      </w:r>
      <w:r>
        <w:rPr>
          <w:rFonts w:hint="eastAsia"/>
          <w:color w:val="auto"/>
          <w:sz w:val="28"/>
          <w:szCs w:val="28"/>
          <w:highlight w:val="none"/>
          <w:lang w:eastAsia="zh-CN"/>
        </w:rPr>
        <w:t>。</w:t>
      </w:r>
    </w:p>
    <w:p>
      <w:pPr>
        <w:pStyle w:val="7"/>
        <w:keepNext w:val="0"/>
        <w:keepLines w:val="0"/>
        <w:pageBreakBefore w:val="0"/>
        <w:widowControl/>
        <w:numPr>
          <w:ilvl w:val="0"/>
          <w:numId w:val="11"/>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color w:val="auto"/>
          <w:sz w:val="28"/>
          <w:szCs w:val="28"/>
          <w:highlight w:val="none"/>
        </w:rPr>
        <w:t>污水转输</w:t>
      </w:r>
      <w:r>
        <w:rPr>
          <w:rFonts w:hint="eastAsia"/>
          <w:color w:val="auto"/>
          <w:sz w:val="28"/>
          <w:szCs w:val="28"/>
          <w:highlight w:val="none"/>
          <w:lang w:eastAsia="zh-CN"/>
        </w:rPr>
        <w:t>设施</w:t>
      </w:r>
      <w:r>
        <w:rPr>
          <w:rFonts w:hint="eastAsia"/>
          <w:color w:val="auto"/>
          <w:sz w:val="28"/>
          <w:szCs w:val="28"/>
          <w:highlight w:val="none"/>
        </w:rPr>
        <w:t>可使用年限：</w:t>
      </w:r>
      <w:r>
        <w:rPr>
          <w:rFonts w:hint="eastAsia" w:ascii="宋体" w:hAnsi="宋体" w:eastAsia="宋体" w:cs="宋体"/>
          <w:color w:val="auto"/>
          <w:sz w:val="28"/>
          <w:szCs w:val="28"/>
          <w:highlight w:val="none"/>
        </w:rPr>
        <w:t>该项权重分为6分，实际得分</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eastAsiaTheme="minorEastAsia"/>
          <w:color w:val="auto"/>
          <w:sz w:val="28"/>
          <w:szCs w:val="28"/>
          <w:highlight w:val="none"/>
          <w:lang w:val="en-US" w:eastAsia="zh-CN"/>
        </w:rPr>
      </w:pPr>
      <w:r>
        <w:rPr>
          <w:rFonts w:hint="eastAsia" w:ascii="宋体" w:hAnsi="宋体" w:eastAsia="宋体" w:cs="宋体"/>
          <w:color w:val="auto"/>
          <w:sz w:val="28"/>
          <w:szCs w:val="28"/>
          <w:highlight w:val="none"/>
        </w:rPr>
        <w:t>具体依据为：秦岭防洪渠污水工程</w:t>
      </w:r>
      <w:r>
        <w:rPr>
          <w:rFonts w:hint="eastAsia" w:ascii="宋体" w:hAnsi="宋体" w:eastAsia="宋体" w:cs="宋体"/>
          <w:color w:val="auto"/>
          <w:sz w:val="28"/>
          <w:szCs w:val="28"/>
          <w:highlight w:val="none"/>
          <w:lang w:eastAsia="zh-CN"/>
        </w:rPr>
        <w:t>施工方污水管道参照《市政排水管道工程及附属设施（</w:t>
      </w:r>
      <w:r>
        <w:rPr>
          <w:rFonts w:hint="eastAsia" w:ascii="宋体" w:hAnsi="宋体" w:eastAsia="宋体" w:cs="宋体"/>
          <w:color w:val="auto"/>
          <w:sz w:val="28"/>
          <w:szCs w:val="28"/>
          <w:highlight w:val="none"/>
          <w:lang w:val="en-US" w:eastAsia="zh-CN"/>
        </w:rPr>
        <w:t>06MS201-1</w:t>
      </w:r>
      <w:r>
        <w:rPr>
          <w:rFonts w:hint="eastAsia" w:ascii="宋体" w:hAnsi="宋体" w:eastAsia="宋体" w:cs="宋体"/>
          <w:color w:val="auto"/>
          <w:sz w:val="28"/>
          <w:szCs w:val="28"/>
          <w:highlight w:val="none"/>
          <w:lang w:eastAsia="zh-CN"/>
        </w:rPr>
        <w:t>）》、检查井参照《市政排水管道工程及附属设施（</w:t>
      </w:r>
      <w:r>
        <w:rPr>
          <w:rFonts w:hint="eastAsia" w:ascii="宋体" w:hAnsi="宋体" w:eastAsia="宋体" w:cs="宋体"/>
          <w:color w:val="auto"/>
          <w:sz w:val="28"/>
          <w:szCs w:val="28"/>
          <w:highlight w:val="none"/>
          <w:lang w:val="en-US" w:eastAsia="zh-CN"/>
        </w:rPr>
        <w:t>06MS201-3</w:t>
      </w:r>
      <w:r>
        <w:rPr>
          <w:rFonts w:hint="eastAsia" w:ascii="宋体" w:hAnsi="宋体" w:eastAsia="宋体" w:cs="宋体"/>
          <w:color w:val="auto"/>
          <w:sz w:val="28"/>
          <w:szCs w:val="28"/>
          <w:highlight w:val="none"/>
          <w:lang w:eastAsia="zh-CN"/>
        </w:rPr>
        <w:t>）》施工，沟槽开挖质量、闭水试验符合</w:t>
      </w:r>
      <w:r>
        <w:rPr>
          <w:rFonts w:hint="eastAsia" w:ascii="宋体" w:hAnsi="宋体" w:eastAsia="宋体" w:cs="宋体"/>
          <w:color w:val="auto"/>
          <w:sz w:val="28"/>
          <w:szCs w:val="28"/>
          <w:highlight w:val="none"/>
          <w:lang w:val="en-US" w:eastAsia="zh-CN"/>
        </w:rPr>
        <w:t>GB50268-2008《给水排水管道工程施工及验收规范》、管材符合砼和钢筋砼排水管（GB11836-2009）的技术要求，施工及材料符合国家排水工程质量要求。</w:t>
      </w:r>
      <w:r>
        <w:rPr>
          <w:rFonts w:hint="eastAsia" w:ascii="宋体" w:hAnsi="宋体" w:eastAsia="宋体" w:cs="宋体"/>
          <w:color w:val="auto"/>
          <w:sz w:val="28"/>
          <w:szCs w:val="28"/>
          <w:highlight w:val="none"/>
          <w:lang w:eastAsia="zh-CN"/>
        </w:rPr>
        <w:t>市政排水管道设计要求可使用年限不低于</w:t>
      </w:r>
      <w:r>
        <w:rPr>
          <w:rFonts w:hint="eastAsia" w:ascii="宋体" w:hAnsi="宋体" w:eastAsia="宋体" w:cs="宋体"/>
          <w:color w:val="auto"/>
          <w:sz w:val="28"/>
          <w:szCs w:val="28"/>
          <w:highlight w:val="none"/>
          <w:lang w:val="en-US" w:eastAsia="zh-CN"/>
        </w:rPr>
        <w:t>50年，可持续影响大于等于50年。</w:t>
      </w:r>
      <w:r>
        <w:rPr>
          <w:rFonts w:hint="eastAsia"/>
          <w:color w:val="auto"/>
          <w:sz w:val="28"/>
          <w:szCs w:val="28"/>
          <w:highlight w:val="none"/>
        </w:rPr>
        <w:t>根据评分细则，该指标得</w:t>
      </w:r>
      <w:r>
        <w:rPr>
          <w:rFonts w:hint="eastAsia"/>
          <w:color w:val="auto"/>
          <w:sz w:val="28"/>
          <w:szCs w:val="28"/>
          <w:highlight w:val="none"/>
          <w:lang w:val="en-US" w:eastAsia="zh-CN"/>
        </w:rPr>
        <w:t>6</w:t>
      </w:r>
      <w:r>
        <w:rPr>
          <w:rFonts w:hint="eastAsia"/>
          <w:color w:val="auto"/>
          <w:sz w:val="28"/>
          <w:szCs w:val="28"/>
          <w:highlight w:val="none"/>
        </w:rPr>
        <w:t>分</w:t>
      </w:r>
      <w:r>
        <w:rPr>
          <w:rFonts w:hint="eastAsia"/>
          <w:color w:val="auto"/>
          <w:sz w:val="28"/>
          <w:szCs w:val="28"/>
          <w:highlight w:val="none"/>
          <w:lang w:eastAsia="zh-CN"/>
        </w:rPr>
        <w:t>。</w:t>
      </w:r>
    </w:p>
    <w:p>
      <w:pPr>
        <w:pStyle w:val="7"/>
        <w:keepNext w:val="0"/>
        <w:keepLines w:val="0"/>
        <w:pageBreakBefore w:val="0"/>
        <w:widowControl/>
        <w:numPr>
          <w:ilvl w:val="0"/>
          <w:numId w:val="11"/>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宋体" w:hAnsi="宋体" w:eastAsia="宋体" w:cs="宋体"/>
          <w:color w:val="auto"/>
          <w:sz w:val="28"/>
          <w:szCs w:val="28"/>
          <w:highlight w:val="none"/>
        </w:rPr>
      </w:pPr>
      <w:r>
        <w:rPr>
          <w:rFonts w:hint="eastAsia"/>
          <w:color w:val="auto"/>
          <w:sz w:val="28"/>
          <w:szCs w:val="28"/>
          <w:highlight w:val="none"/>
        </w:rPr>
        <w:t>村民满意度</w:t>
      </w:r>
      <w:r>
        <w:rPr>
          <w:rFonts w:hint="eastAsia"/>
          <w:color w:val="auto"/>
          <w:sz w:val="28"/>
          <w:szCs w:val="28"/>
          <w:highlight w:val="none"/>
          <w:lang w:eastAsia="zh-CN"/>
        </w:rPr>
        <w:t>和</w:t>
      </w:r>
      <w:r>
        <w:rPr>
          <w:rFonts w:hint="eastAsia"/>
          <w:color w:val="auto"/>
          <w:sz w:val="28"/>
          <w:szCs w:val="28"/>
          <w:highlight w:val="none"/>
        </w:rPr>
        <w:t>附近居民满意度：</w:t>
      </w:r>
      <w:r>
        <w:rPr>
          <w:rFonts w:hint="eastAsia" w:ascii="宋体" w:hAnsi="宋体" w:eastAsia="宋体" w:cs="宋体"/>
          <w:color w:val="auto"/>
          <w:sz w:val="28"/>
          <w:szCs w:val="28"/>
          <w:highlight w:val="none"/>
        </w:rPr>
        <w:t>该项权重分为</w:t>
      </w:r>
      <w:r>
        <w:rPr>
          <w:rFonts w:hint="eastAsia" w:ascii="宋体" w:hAnsi="宋体" w:eastAsia="宋体" w:cs="宋体"/>
          <w:color w:val="auto"/>
          <w:sz w:val="28"/>
          <w:szCs w:val="28"/>
          <w:highlight w:val="none"/>
          <w:lang w:val="en-US" w:eastAsia="zh-CN"/>
        </w:rPr>
        <w:t>8</w:t>
      </w:r>
      <w:r>
        <w:rPr>
          <w:rFonts w:hint="eastAsia" w:ascii="宋体" w:hAnsi="宋体" w:eastAsia="宋体" w:cs="宋体"/>
          <w:color w:val="auto"/>
          <w:sz w:val="28"/>
          <w:szCs w:val="28"/>
          <w:highlight w:val="none"/>
        </w:rPr>
        <w:t>分，实际得分</w:t>
      </w: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157" w:afterLines="50" w:afterAutospacing="0" w:line="560" w:lineRule="exact"/>
        <w:ind w:firstLine="560" w:firstLineChars="200"/>
        <w:jc w:val="left"/>
        <w:textAlignment w:val="auto"/>
        <w:rPr>
          <w:rFonts w:hint="default" w:eastAsia="宋体"/>
          <w:color w:val="auto"/>
          <w:sz w:val="28"/>
          <w:szCs w:val="28"/>
          <w:highlight w:val="none"/>
          <w:lang w:val="en-US" w:eastAsia="zh-CN"/>
        </w:rPr>
      </w:pPr>
      <w:r>
        <w:rPr>
          <w:rFonts w:hint="eastAsia" w:ascii="宋体" w:hAnsi="宋体" w:eastAsia="宋体" w:cs="宋体"/>
          <w:color w:val="auto"/>
          <w:sz w:val="28"/>
          <w:szCs w:val="28"/>
          <w:highlight w:val="none"/>
        </w:rPr>
        <w:t>具体依据为：</w:t>
      </w:r>
      <w:r>
        <w:rPr>
          <w:rFonts w:hint="eastAsia" w:ascii="宋体" w:hAnsi="宋体" w:eastAsia="宋体" w:cs="宋体"/>
          <w:color w:val="auto"/>
          <w:sz w:val="28"/>
          <w:szCs w:val="28"/>
          <w:highlight w:val="none"/>
          <w:lang w:eastAsia="zh-CN"/>
        </w:rPr>
        <w:t>根据问卷调查问题</w:t>
      </w:r>
      <w:r>
        <w:rPr>
          <w:rFonts w:hint="eastAsia" w:ascii="宋体" w:hAnsi="宋体" w:eastAsia="宋体" w:cs="宋体"/>
          <w:color w:val="auto"/>
          <w:sz w:val="28"/>
          <w:szCs w:val="28"/>
          <w:highlight w:val="none"/>
          <w:lang w:val="en-US" w:eastAsia="zh-CN"/>
        </w:rPr>
        <w:t>9：您对现在的居住环境满意度如何？选择非常满意的14人，选择比较满意的5人，选择不满意的占比1人，根据公式满意度为86%，满意度较高。根据评分细则，该指标得7分。</w:t>
      </w:r>
    </w:p>
    <w:p>
      <w:pPr>
        <w:pStyle w:val="7"/>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560" w:lineRule="exact"/>
        <w:ind w:left="0" w:leftChars="0" w:firstLine="562" w:firstLineChars="200"/>
        <w:jc w:val="left"/>
        <w:textAlignment w:val="auto"/>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eastAsia="zh-CN"/>
        </w:rPr>
        <w:t>项目实施经验及</w:t>
      </w:r>
      <w:r>
        <w:rPr>
          <w:rFonts w:hint="eastAsia" w:ascii="宋体" w:hAnsi="宋体" w:eastAsia="宋体" w:cs="宋体"/>
          <w:b/>
          <w:bCs/>
          <w:color w:val="auto"/>
          <w:sz w:val="28"/>
          <w:szCs w:val="28"/>
          <w:highlight w:val="none"/>
        </w:rPr>
        <w:t>存在的问题</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150"/>
        <w:jc w:val="left"/>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eastAsia="zh-CN"/>
        </w:rPr>
        <w:t>（一）主要经验及做法</w:t>
      </w:r>
    </w:p>
    <w:p>
      <w:pPr>
        <w:pStyle w:val="7"/>
        <w:keepNext w:val="0"/>
        <w:keepLines w:val="0"/>
        <w:pageBreakBefore w:val="0"/>
        <w:widowControl/>
        <w:numPr>
          <w:ilvl w:val="0"/>
          <w:numId w:val="12"/>
        </w:numPr>
        <w:kinsoku/>
        <w:wordWrap/>
        <w:overflowPunct/>
        <w:topLinePunct w:val="0"/>
        <w:autoSpaceDE/>
        <w:autoSpaceDN/>
        <w:bidi w:val="0"/>
        <w:adjustRightInd/>
        <w:snapToGrid/>
        <w:spacing w:beforeAutospacing="0" w:afterAutospacing="0" w:line="560" w:lineRule="exact"/>
        <w:ind w:left="0" w:leftChars="0" w:firstLine="420" w:firstLineChars="150"/>
        <w:jc w:val="left"/>
        <w:textAlignment w:val="auto"/>
        <w:rPr>
          <w:rFonts w:hint="default"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rPr>
        <w:t>项目的决策</w:t>
      </w:r>
      <w:r>
        <w:rPr>
          <w:rFonts w:hint="eastAsia" w:ascii="宋体" w:hAnsi="宋体" w:cs="宋体"/>
          <w:b w:val="0"/>
          <w:bCs w:val="0"/>
          <w:color w:val="auto"/>
          <w:sz w:val="28"/>
          <w:szCs w:val="28"/>
          <w:highlight w:val="none"/>
          <w:lang w:eastAsia="zh-CN"/>
        </w:rPr>
        <w:t>、</w:t>
      </w:r>
      <w:r>
        <w:rPr>
          <w:rFonts w:hint="eastAsia" w:ascii="宋体" w:hAnsi="宋体" w:cs="宋体"/>
          <w:b w:val="0"/>
          <w:bCs w:val="0"/>
          <w:color w:val="auto"/>
          <w:sz w:val="28"/>
          <w:szCs w:val="28"/>
          <w:highlight w:val="none"/>
        </w:rPr>
        <w:t>招标及实施过程规范</w:t>
      </w:r>
    </w:p>
    <w:p>
      <w:pPr>
        <w:pStyle w:val="7"/>
        <w:keepNext w:val="0"/>
        <w:keepLines w:val="0"/>
        <w:pageBreakBefore w:val="0"/>
        <w:widowControl/>
        <w:numPr>
          <w:ilvl w:val="0"/>
          <w:numId w:val="0"/>
        </w:numPr>
        <w:tabs>
          <w:tab w:val="left" w:pos="210"/>
        </w:tabs>
        <w:kinsoku/>
        <w:wordWrap/>
        <w:overflowPunct/>
        <w:topLinePunct w:val="0"/>
        <w:autoSpaceDE/>
        <w:autoSpaceDN/>
        <w:bidi w:val="0"/>
        <w:adjustRightInd/>
        <w:snapToGrid/>
        <w:spacing w:beforeAutospacing="0" w:afterAutospacing="0" w:line="560" w:lineRule="exact"/>
        <w:ind w:left="0" w:leftChars="0" w:firstLine="490" w:firstLineChars="175"/>
        <w:jc w:val="left"/>
        <w:textAlignment w:val="auto"/>
        <w:rPr>
          <w:rFonts w:hint="default" w:ascii="宋体" w:hAnsi="宋体" w:eastAsia="宋体" w:cs="宋体"/>
          <w:b/>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 本项目立项从部门职责出发，依据上级文件精神指示，按规定的申请程序设立，保证了项目目的和方向的正确性；招投标机制完善、程序规范，过程控制有效，保证了采购过程效率化和采购结果最优化；施工过程各方履行自身的职责，同时配合良好，共同解决项目中遇到的问题，得以高质量提前完成既定的建设目标。</w:t>
      </w:r>
    </w:p>
    <w:p>
      <w:pPr>
        <w:pStyle w:val="7"/>
        <w:keepNext w:val="0"/>
        <w:keepLines w:val="0"/>
        <w:pageBreakBefore w:val="0"/>
        <w:widowControl/>
        <w:numPr>
          <w:ilvl w:val="0"/>
          <w:numId w:val="12"/>
        </w:numPr>
        <w:kinsoku/>
        <w:wordWrap/>
        <w:overflowPunct/>
        <w:topLinePunct w:val="0"/>
        <w:autoSpaceDE/>
        <w:autoSpaceDN/>
        <w:bidi w:val="0"/>
        <w:adjustRightInd/>
        <w:snapToGrid/>
        <w:spacing w:beforeAutospacing="0" w:afterAutospacing="0" w:line="560" w:lineRule="exact"/>
        <w:ind w:left="0" w:leftChars="0" w:firstLine="420" w:firstLineChars="150"/>
        <w:jc w:val="left"/>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资金管理完善，充分发挥财政资金的效益。</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资金投入预算编制科学提高了财政资金的流动性，使财政资金得以支持到需要的建设项目上去。资金到位率高、预算执行率高，杜绝了以往“项目等钱”的情况，资金对项目的保障能力强。资金的管理和监管到位，资金使用合法合规，确保了资金的安全完整，财政资金发挥的效益性强。</w:t>
      </w:r>
    </w:p>
    <w:p>
      <w:pPr>
        <w:pStyle w:val="7"/>
        <w:keepNext w:val="0"/>
        <w:keepLines w:val="0"/>
        <w:pageBreakBefore w:val="0"/>
        <w:widowControl/>
        <w:numPr>
          <w:ilvl w:val="0"/>
          <w:numId w:val="12"/>
        </w:numPr>
        <w:kinsoku/>
        <w:wordWrap/>
        <w:overflowPunct/>
        <w:topLinePunct w:val="0"/>
        <w:autoSpaceDE/>
        <w:autoSpaceDN/>
        <w:bidi w:val="0"/>
        <w:adjustRightInd/>
        <w:snapToGrid/>
        <w:spacing w:beforeAutospacing="0" w:afterAutospacing="0" w:line="560" w:lineRule="exact"/>
        <w:ind w:left="0" w:leftChars="0" w:firstLine="420" w:firstLineChars="150"/>
        <w:jc w:val="left"/>
        <w:textAlignment w:val="auto"/>
        <w:rPr>
          <w:rFonts w:hint="default"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高层领导重视，防洪渠提升改造取得阶段性成功。</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秦岭防洪渠综合治理是市委、市政府确定的“四河五渠”综合治理的重点项目之一。</w:t>
      </w:r>
      <w:r>
        <w:rPr>
          <w:rFonts w:hint="eastAsia" w:ascii="宋体" w:hAnsi="宋体" w:cs="宋体"/>
          <w:color w:val="auto"/>
          <w:spacing w:val="6"/>
          <w:kern w:val="2"/>
          <w:sz w:val="28"/>
          <w:szCs w:val="28"/>
          <w:highlight w:val="none"/>
          <w:lang w:eastAsia="zh-CN"/>
        </w:rPr>
        <w:t>洛阳市就秦岭防洪渠提升改造推出了一系列工程治理改造项目，防洪渠污水治理是其中的一部分。各项目配合实施推动了</w:t>
      </w:r>
      <w:r>
        <w:rPr>
          <w:rFonts w:hint="eastAsia" w:ascii="宋体" w:hAnsi="宋体" w:eastAsia="宋体" w:cs="宋体"/>
          <w:b w:val="0"/>
          <w:bCs w:val="0"/>
          <w:color w:val="auto"/>
          <w:sz w:val="28"/>
          <w:szCs w:val="28"/>
          <w:highlight w:val="none"/>
          <w:lang w:val="en-US" w:eastAsia="zh-CN"/>
        </w:rPr>
        <w:t>洛阳市水生态环境建设，改善了秦岭防洪渠沿岸的居民居住环境，使渠水更清岸更美，居民的幸福感更好、获得感更强，社会效益明显。</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200"/>
        <w:jc w:val="left"/>
        <w:textAlignment w:val="auto"/>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lang w:eastAsia="zh-CN"/>
        </w:rPr>
        <w:t>（二）</w:t>
      </w:r>
      <w:r>
        <w:rPr>
          <w:rFonts w:hint="eastAsia" w:ascii="宋体" w:hAnsi="宋体" w:eastAsia="宋体" w:cs="宋体"/>
          <w:b w:val="0"/>
          <w:bCs w:val="0"/>
          <w:color w:val="auto"/>
          <w:sz w:val="28"/>
          <w:szCs w:val="28"/>
          <w:highlight w:val="none"/>
        </w:rPr>
        <w:t>存在的问题</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200"/>
        <w:jc w:val="left"/>
        <w:textAlignment w:val="auto"/>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eastAsia="宋体" w:cs="宋体"/>
          <w:b w:val="0"/>
          <w:bCs w:val="0"/>
          <w:color w:val="auto"/>
          <w:sz w:val="28"/>
          <w:szCs w:val="28"/>
          <w:highlight w:val="none"/>
        </w:rPr>
        <w:t>绩效评价意识不强</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2021年项目没有设置绩效目标。2022年项目绩效目标不具体，指标不够清晰可衡量，在建设规模、建设内容、建设数量、技术标准均未体现。个别指标设置不切合实际。</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rPr>
        <w:t>项目管理有待加强</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420" w:firstLineChars="15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（1）工程洽商记录中监理单位第二页仅签字未盖章，施工单位仅签字未盖章</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420" w:firstLineChars="15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（2）施工单位出具的竣工报告中，单位负责人和总监理工程师未签字。</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420" w:firstLineChars="150"/>
        <w:jc w:val="left"/>
        <w:textAlignment w:val="auto"/>
        <w:rPr>
          <w:rFonts w:ascii="宋体" w:hAnsi="宋体" w:eastAsia="宋体" w:cs="宋体"/>
          <w:b/>
          <w:bCs/>
          <w:color w:val="auto"/>
          <w:sz w:val="28"/>
          <w:szCs w:val="28"/>
          <w:highlight w:val="none"/>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项目管理文件因部门改革或个人原因暂无法提供，提供的项目管理制度缺乏对工程各个过程明确细致的的监督规定。</w:t>
      </w:r>
      <w:bookmarkStart w:id="0" w:name="_GoBack"/>
      <w:bookmarkEnd w:id="0"/>
    </w:p>
    <w:p>
      <w:pPr>
        <w:pStyle w:val="7"/>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560" w:lineRule="exact"/>
        <w:ind w:left="0" w:leftChars="0" w:firstLine="562" w:firstLineChars="200"/>
        <w:jc w:val="left"/>
        <w:textAlignment w:val="auto"/>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有关建议</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lang w:eastAsia="zh-CN"/>
        </w:rPr>
        <w:t>（一）</w:t>
      </w:r>
      <w:r>
        <w:rPr>
          <w:rFonts w:hint="eastAsia" w:ascii="宋体" w:hAnsi="宋体" w:eastAsia="宋体" w:cs="宋体"/>
          <w:b w:val="0"/>
          <w:bCs w:val="0"/>
          <w:color w:val="auto"/>
          <w:sz w:val="28"/>
          <w:szCs w:val="28"/>
          <w:highlight w:val="none"/>
        </w:rPr>
        <w:t>强化绩效意识，合理设置绩效目标</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部门整体需要牢固树立绩效意识，落实绩效要求，推动项目更加科学合理配置财政资源，充分发挥财政资金效益。绩效目标的设置方面，项目总体目标设置要有指导意义，在宏观角度指导项目的建设与实施；项目具体目标设置要考虑项目当下实施完成能达到的作用。设置具体的指标需清晰可衡量，结合项目自身的特点，符合实际，应为项目能达到的合理水平目标。</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lang w:eastAsia="zh-CN"/>
        </w:rPr>
        <w:t>（二）</w:t>
      </w:r>
      <w:r>
        <w:rPr>
          <w:rFonts w:hint="eastAsia" w:ascii="宋体" w:hAnsi="宋体" w:eastAsia="宋体" w:cs="宋体"/>
          <w:b w:val="0"/>
          <w:bCs w:val="0"/>
          <w:color w:val="auto"/>
          <w:sz w:val="28"/>
          <w:szCs w:val="28"/>
          <w:highlight w:val="none"/>
        </w:rPr>
        <w:t>加强业务管理，严格按照规范操作</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项目制度管理制度文件需科室或专人妥善保管，个人工作变动中应当做好交接工作。加强业务管理，在项目各个实施环节要严格按照要求实施，明确义务区分责任，为项目提供监督保障。</w:t>
      </w:r>
    </w:p>
    <w:p>
      <w:pPr>
        <w:pStyle w:val="7"/>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560" w:lineRule="exact"/>
        <w:ind w:left="0" w:leftChars="0" w:firstLine="562" w:firstLineChars="200"/>
        <w:jc w:val="left"/>
        <w:textAlignment w:val="auto"/>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其他需要说明的问题</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无。</w:t>
      </w:r>
    </w:p>
    <w:p>
      <w:pPr>
        <w:pStyle w:val="7"/>
        <w:keepNext w:val="0"/>
        <w:keepLines w:val="0"/>
        <w:pageBreakBefore w:val="0"/>
        <w:widowControl/>
        <w:numPr>
          <w:ilvl w:val="0"/>
          <w:numId w:val="2"/>
        </w:numPr>
        <w:kinsoku/>
        <w:wordWrap/>
        <w:overflowPunct/>
        <w:topLinePunct w:val="0"/>
        <w:autoSpaceDE/>
        <w:autoSpaceDN/>
        <w:bidi w:val="0"/>
        <w:adjustRightInd/>
        <w:snapToGrid/>
        <w:spacing w:beforeAutospacing="0" w:afterAutospacing="0" w:line="560" w:lineRule="exact"/>
        <w:ind w:left="0" w:leftChars="0" w:firstLine="562" w:firstLineChars="200"/>
        <w:jc w:val="left"/>
        <w:textAlignment w:val="auto"/>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附件</w:t>
      </w:r>
    </w:p>
    <w:p>
      <w:pPr>
        <w:pStyle w:val="7"/>
        <w:keepNext w:val="0"/>
        <w:keepLines w:val="0"/>
        <w:pageBreakBefore w:val="0"/>
        <w:widowControl/>
        <w:numPr>
          <w:ilvl w:val="0"/>
          <w:numId w:val="13"/>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秦岭防洪渠污水治理工程绩效评价指标体系及评分表</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200"/>
        <w:jc w:val="left"/>
        <w:textAlignment w:val="auto"/>
        <w:rPr>
          <w:rFonts w:ascii="宋体" w:hAnsi="宋体" w:eastAsia="宋体" w:cs="宋体"/>
          <w:color w:val="auto"/>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jc w:val="left"/>
        <w:textAlignment w:val="auto"/>
        <w:rPr>
          <w:rFonts w:hint="eastAsia" w:ascii="宋体" w:hAnsi="宋体" w:cs="宋体"/>
          <w:color w:val="auto"/>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jc w:val="left"/>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河南</w:t>
      </w:r>
      <w:r>
        <w:rPr>
          <w:rFonts w:hint="eastAsia" w:ascii="宋体" w:hAnsi="宋体" w:cs="宋体"/>
          <w:color w:val="auto"/>
          <w:sz w:val="28"/>
          <w:szCs w:val="28"/>
          <w:highlight w:val="none"/>
          <w:lang w:eastAsia="zh-CN"/>
        </w:rPr>
        <w:t>燎旺</w:t>
      </w:r>
      <w:r>
        <w:rPr>
          <w:rFonts w:hint="eastAsia" w:ascii="宋体" w:hAnsi="宋体" w:cs="宋体"/>
          <w:color w:val="auto"/>
          <w:sz w:val="28"/>
          <w:szCs w:val="28"/>
          <w:highlight w:val="none"/>
        </w:rPr>
        <w:t>会计师事务所（普通合伙)    中国注册会计师：</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jc w:val="left"/>
        <w:textAlignment w:val="auto"/>
        <w:rPr>
          <w:rFonts w:hint="eastAsia" w:ascii="宋体" w:hAnsi="宋体" w:cs="宋体"/>
          <w:color w:val="auto"/>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jc w:val="left"/>
        <w:textAlignment w:val="auto"/>
        <w:rPr>
          <w:rFonts w:hint="eastAsia" w:ascii="宋体" w:hAnsi="宋体" w:cs="宋体"/>
          <w:color w:val="auto"/>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1960" w:firstLineChars="700"/>
        <w:jc w:val="left"/>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中国·</w:t>
      </w:r>
      <w:r>
        <w:rPr>
          <w:rFonts w:hint="eastAsia" w:ascii="宋体" w:hAnsi="宋体" w:cs="宋体"/>
          <w:color w:val="auto"/>
          <w:sz w:val="28"/>
          <w:szCs w:val="28"/>
          <w:highlight w:val="none"/>
          <w:lang w:eastAsia="zh-CN"/>
        </w:rPr>
        <w:t>洛阳</w:t>
      </w:r>
      <w:r>
        <w:rPr>
          <w:rFonts w:hint="eastAsia" w:ascii="宋体" w:hAnsi="宋体" w:cs="宋体"/>
          <w:color w:val="auto"/>
          <w:sz w:val="28"/>
          <w:szCs w:val="28"/>
          <w:highlight w:val="none"/>
        </w:rPr>
        <w:t xml:space="preserve">                中国注册会计师：</w:t>
      </w:r>
    </w:p>
    <w:p>
      <w:pPr>
        <w:keepNext w:val="0"/>
        <w:keepLines w:val="0"/>
        <w:pageBreakBefore w:val="0"/>
        <w:widowControl w:val="0"/>
        <w:kinsoku/>
        <w:wordWrap/>
        <w:overflowPunct/>
        <w:topLinePunct w:val="0"/>
        <w:autoSpaceDE/>
        <w:autoSpaceDN/>
        <w:bidi w:val="0"/>
        <w:adjustRightInd/>
        <w:snapToGrid w:val="0"/>
        <w:spacing w:line="560" w:lineRule="exact"/>
        <w:ind w:left="5040" w:firstLine="560" w:firstLineChars="200"/>
        <w:jc w:val="left"/>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60" w:lineRule="exact"/>
        <w:ind w:left="5027" w:leftChars="2394" w:firstLine="560" w:firstLineChars="200"/>
        <w:jc w:val="left"/>
        <w:textAlignment w:val="auto"/>
        <w:rPr>
          <w:rFonts w:hint="default" w:ascii="宋体" w:hAnsi="宋体" w:eastAsia="宋体" w:cs="宋体"/>
          <w:color w:val="auto"/>
          <w:highlight w:val="none"/>
          <w:lang w:val="en-US" w:eastAsia="zh-CN"/>
        </w:rPr>
      </w:pPr>
      <w:r>
        <w:rPr>
          <w:rFonts w:hint="eastAsia" w:ascii="宋体" w:hAnsi="宋体" w:cs="宋体"/>
          <w:color w:val="auto"/>
          <w:sz w:val="28"/>
          <w:szCs w:val="28"/>
          <w:highlight w:val="none"/>
        </w:rPr>
        <w:t>二〇二</w:t>
      </w:r>
      <w:r>
        <w:rPr>
          <w:rFonts w:hint="eastAsia" w:ascii="宋体" w:hAnsi="宋体" w:cs="宋体"/>
          <w:color w:val="auto"/>
          <w:sz w:val="28"/>
          <w:szCs w:val="28"/>
          <w:highlight w:val="none"/>
          <w:lang w:eastAsia="zh-CN"/>
        </w:rPr>
        <w:t>三</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eastAsia="zh-CN"/>
        </w:rPr>
        <w:t>一</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eastAsia="zh-CN"/>
        </w:rPr>
        <w:t>五</w:t>
      </w:r>
      <w:r>
        <w:rPr>
          <w:rFonts w:hint="eastAsia" w:ascii="宋体" w:hAnsi="宋体" w:cs="宋体"/>
          <w:color w:val="auto"/>
          <w:sz w:val="28"/>
          <w:szCs w:val="28"/>
          <w:highlight w:val="none"/>
        </w:rPr>
        <w:t>日</w:t>
      </w:r>
    </w:p>
    <w:sectPr>
      <w:headerReference r:id="rId3" w:type="default"/>
      <w:footerReference r:id="rId4" w:type="default"/>
      <w:pgSz w:w="11906" w:h="16838"/>
      <w:pgMar w:top="1383" w:right="1519" w:bottom="1383" w:left="1463" w:header="1134"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double" w:color="auto" w:sz="4" w:space="1"/>
      </w:pBdr>
      <w:ind w:right="360"/>
      <w:jc w:val="both"/>
      <w:rPr>
        <w:rFonts w:hint="eastAsia"/>
        <w:szCs w:val="15"/>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Style w:val="11"/>
                            </w:rPr>
                          </w:pPr>
                          <w:r>
                            <w:fldChar w:fldCharType="begin"/>
                          </w:r>
                          <w:r>
                            <w:rPr>
                              <w:rStyle w:val="11"/>
                            </w:rPr>
                            <w:instrText xml:space="preserve">PAGE  </w:instrText>
                          </w:r>
                          <w:r>
                            <w:fldChar w:fldCharType="separate"/>
                          </w:r>
                          <w:r>
                            <w:rPr>
                              <w:rStyle w:val="11"/>
                            </w:rP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rPr>
                        <w:rStyle w:val="11"/>
                      </w:rPr>
                    </w:pPr>
                    <w:r>
                      <w:fldChar w:fldCharType="begin"/>
                    </w:r>
                    <w:r>
                      <w:rPr>
                        <w:rStyle w:val="11"/>
                      </w:rPr>
                      <w:instrText xml:space="preserve">PAGE  </w:instrText>
                    </w:r>
                    <w:r>
                      <w:fldChar w:fldCharType="separate"/>
                    </w:r>
                    <w:r>
                      <w:rPr>
                        <w:rStyle w:val="11"/>
                      </w:rPr>
                      <w:t>19</w:t>
                    </w:r>
                    <w:r>
                      <w:fldChar w:fldCharType="end"/>
                    </w:r>
                  </w:p>
                </w:txbxContent>
              </v:textbox>
            </v:shape>
          </w:pict>
        </mc:Fallback>
      </mc:AlternateContent>
    </w:r>
    <w:r>
      <w:rPr>
        <w:rFonts w:hint="eastAsia"/>
        <w:szCs w:val="15"/>
      </w:rPr>
      <w:t xml:space="preserve"> 河南燎旺会计师事务所（普通合伙）</w: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double" w:color="auto" w:sz="8" w:space="1"/>
      </w:pBdr>
      <w:jc w:val="left"/>
    </w:pPr>
    <w:r>
      <w:rPr>
        <w:rFonts w:hint="eastAsia"/>
      </w:rPr>
      <w:t>秦岭防洪渠污水治理工程绩效评价报告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244C30"/>
    <w:multiLevelType w:val="singleLevel"/>
    <w:tmpl w:val="8B244C30"/>
    <w:lvl w:ilvl="0" w:tentative="0">
      <w:start w:val="2"/>
      <w:numFmt w:val="chineseCounting"/>
      <w:suff w:val="nothing"/>
      <w:lvlText w:val="%1、"/>
      <w:lvlJc w:val="left"/>
      <w:rPr>
        <w:rFonts w:hint="eastAsia"/>
      </w:rPr>
    </w:lvl>
  </w:abstractNum>
  <w:abstractNum w:abstractNumId="1">
    <w:nsid w:val="E5A02A53"/>
    <w:multiLevelType w:val="singleLevel"/>
    <w:tmpl w:val="E5A02A53"/>
    <w:lvl w:ilvl="0" w:tentative="0">
      <w:start w:val="1"/>
      <w:numFmt w:val="chineseCounting"/>
      <w:suff w:val="nothing"/>
      <w:lvlText w:val="（%1）"/>
      <w:lvlJc w:val="left"/>
      <w:pPr>
        <w:ind w:left="420"/>
      </w:pPr>
      <w:rPr>
        <w:rFonts w:hint="eastAsia"/>
      </w:rPr>
    </w:lvl>
  </w:abstractNum>
  <w:abstractNum w:abstractNumId="2">
    <w:nsid w:val="E694C925"/>
    <w:multiLevelType w:val="singleLevel"/>
    <w:tmpl w:val="E694C925"/>
    <w:lvl w:ilvl="0" w:tentative="0">
      <w:start w:val="2"/>
      <w:numFmt w:val="decimal"/>
      <w:suff w:val="nothing"/>
      <w:lvlText w:val="%1、"/>
      <w:lvlJc w:val="left"/>
    </w:lvl>
  </w:abstractNum>
  <w:abstractNum w:abstractNumId="3">
    <w:nsid w:val="E85AAD50"/>
    <w:multiLevelType w:val="singleLevel"/>
    <w:tmpl w:val="E85AAD50"/>
    <w:lvl w:ilvl="0" w:tentative="0">
      <w:start w:val="1"/>
      <w:numFmt w:val="chineseCounting"/>
      <w:suff w:val="nothing"/>
      <w:lvlText w:val="（%1）"/>
      <w:lvlJc w:val="left"/>
      <w:rPr>
        <w:rFonts w:hint="eastAsia"/>
      </w:rPr>
    </w:lvl>
  </w:abstractNum>
  <w:abstractNum w:abstractNumId="4">
    <w:nsid w:val="ED78B83B"/>
    <w:multiLevelType w:val="singleLevel"/>
    <w:tmpl w:val="ED78B83B"/>
    <w:lvl w:ilvl="0" w:tentative="0">
      <w:start w:val="1"/>
      <w:numFmt w:val="decimal"/>
      <w:suff w:val="nothing"/>
      <w:lvlText w:val="%1、"/>
      <w:lvlJc w:val="left"/>
    </w:lvl>
  </w:abstractNum>
  <w:abstractNum w:abstractNumId="5">
    <w:nsid w:val="F4CCD2E6"/>
    <w:multiLevelType w:val="singleLevel"/>
    <w:tmpl w:val="F4CCD2E6"/>
    <w:lvl w:ilvl="0" w:tentative="0">
      <w:start w:val="1"/>
      <w:numFmt w:val="chineseCounting"/>
      <w:suff w:val="nothing"/>
      <w:lvlText w:val="（%1）"/>
      <w:lvlJc w:val="left"/>
      <w:rPr>
        <w:rFonts w:hint="eastAsia"/>
      </w:rPr>
    </w:lvl>
  </w:abstractNum>
  <w:abstractNum w:abstractNumId="6">
    <w:nsid w:val="F76A2AB7"/>
    <w:multiLevelType w:val="singleLevel"/>
    <w:tmpl w:val="F76A2AB7"/>
    <w:lvl w:ilvl="0" w:tentative="0">
      <w:start w:val="1"/>
      <w:numFmt w:val="decimal"/>
      <w:suff w:val="nothing"/>
      <w:lvlText w:val="%1、"/>
      <w:lvlJc w:val="left"/>
    </w:lvl>
  </w:abstractNum>
  <w:abstractNum w:abstractNumId="7">
    <w:nsid w:val="109325AB"/>
    <w:multiLevelType w:val="singleLevel"/>
    <w:tmpl w:val="109325AB"/>
    <w:lvl w:ilvl="0" w:tentative="0">
      <w:start w:val="1"/>
      <w:numFmt w:val="decimal"/>
      <w:suff w:val="nothing"/>
      <w:lvlText w:val="%1、"/>
      <w:lvlJc w:val="left"/>
    </w:lvl>
  </w:abstractNum>
  <w:abstractNum w:abstractNumId="8">
    <w:nsid w:val="27CAEE8C"/>
    <w:multiLevelType w:val="singleLevel"/>
    <w:tmpl w:val="27CAEE8C"/>
    <w:lvl w:ilvl="0" w:tentative="0">
      <w:start w:val="1"/>
      <w:numFmt w:val="decimal"/>
      <w:suff w:val="nothing"/>
      <w:lvlText w:val="%1、"/>
      <w:lvlJc w:val="left"/>
    </w:lvl>
  </w:abstractNum>
  <w:abstractNum w:abstractNumId="9">
    <w:nsid w:val="310C2560"/>
    <w:multiLevelType w:val="singleLevel"/>
    <w:tmpl w:val="310C2560"/>
    <w:lvl w:ilvl="0" w:tentative="0">
      <w:start w:val="1"/>
      <w:numFmt w:val="decimal"/>
      <w:suff w:val="nothing"/>
      <w:lvlText w:val="%1、"/>
      <w:lvlJc w:val="left"/>
    </w:lvl>
  </w:abstractNum>
  <w:abstractNum w:abstractNumId="10">
    <w:nsid w:val="3FF343D9"/>
    <w:multiLevelType w:val="singleLevel"/>
    <w:tmpl w:val="3FF343D9"/>
    <w:lvl w:ilvl="0" w:tentative="0">
      <w:start w:val="3"/>
      <w:numFmt w:val="decimal"/>
      <w:suff w:val="nothing"/>
      <w:lvlText w:val="%1、"/>
      <w:lvlJc w:val="left"/>
    </w:lvl>
  </w:abstractNum>
  <w:abstractNum w:abstractNumId="11">
    <w:nsid w:val="63C1D057"/>
    <w:multiLevelType w:val="singleLevel"/>
    <w:tmpl w:val="63C1D057"/>
    <w:lvl w:ilvl="0" w:tentative="0">
      <w:start w:val="2"/>
      <w:numFmt w:val="chineseCounting"/>
      <w:suff w:val="nothing"/>
      <w:lvlText w:val="（%1）"/>
      <w:lvlJc w:val="left"/>
      <w:rPr>
        <w:rFonts w:hint="eastAsia"/>
      </w:rPr>
    </w:lvl>
  </w:abstractNum>
  <w:abstractNum w:abstractNumId="12">
    <w:nsid w:val="66CB3771"/>
    <w:multiLevelType w:val="singleLevel"/>
    <w:tmpl w:val="66CB3771"/>
    <w:lvl w:ilvl="0" w:tentative="0">
      <w:start w:val="1"/>
      <w:numFmt w:val="decimal"/>
      <w:lvlText w:val="%1."/>
      <w:lvlJc w:val="left"/>
      <w:pPr>
        <w:tabs>
          <w:tab w:val="left" w:pos="312"/>
        </w:tabs>
      </w:pPr>
    </w:lvl>
  </w:abstractNum>
  <w:num w:numId="1">
    <w:abstractNumId w:val="11"/>
  </w:num>
  <w:num w:numId="2">
    <w:abstractNumId w:val="0"/>
  </w:num>
  <w:num w:numId="3">
    <w:abstractNumId w:val="1"/>
  </w:num>
  <w:num w:numId="4">
    <w:abstractNumId w:val="10"/>
  </w:num>
  <w:num w:numId="5">
    <w:abstractNumId w:val="2"/>
  </w:num>
  <w:num w:numId="6">
    <w:abstractNumId w:val="5"/>
  </w:num>
  <w:num w:numId="7">
    <w:abstractNumId w:val="3"/>
  </w:num>
  <w:num w:numId="8">
    <w:abstractNumId w:val="9"/>
  </w:num>
  <w:num w:numId="9">
    <w:abstractNumId w:val="4"/>
  </w:num>
  <w:num w:numId="10">
    <w:abstractNumId w:val="7"/>
  </w:num>
  <w:num w:numId="11">
    <w:abstractNumId w:val="6"/>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0YjIxMTg0NTU4YmRhNjVmZmViYWZmNmNmMzg5OGQifQ=="/>
  </w:docVars>
  <w:rsids>
    <w:rsidRoot w:val="48CF7268"/>
    <w:rsid w:val="0006216F"/>
    <w:rsid w:val="00210413"/>
    <w:rsid w:val="002203A0"/>
    <w:rsid w:val="00242088"/>
    <w:rsid w:val="002C7FDD"/>
    <w:rsid w:val="003D1596"/>
    <w:rsid w:val="00493B6D"/>
    <w:rsid w:val="004D206F"/>
    <w:rsid w:val="00510393"/>
    <w:rsid w:val="005A3219"/>
    <w:rsid w:val="005C39AE"/>
    <w:rsid w:val="0066278C"/>
    <w:rsid w:val="00694AE4"/>
    <w:rsid w:val="007C6279"/>
    <w:rsid w:val="009805C8"/>
    <w:rsid w:val="009D1094"/>
    <w:rsid w:val="009F7420"/>
    <w:rsid w:val="00A51475"/>
    <w:rsid w:val="00A64F5F"/>
    <w:rsid w:val="00B26B78"/>
    <w:rsid w:val="00B61C41"/>
    <w:rsid w:val="00BA7FF4"/>
    <w:rsid w:val="00BC3888"/>
    <w:rsid w:val="00D20036"/>
    <w:rsid w:val="00D87C0C"/>
    <w:rsid w:val="00E30DB6"/>
    <w:rsid w:val="00EA48FB"/>
    <w:rsid w:val="00EE70F2"/>
    <w:rsid w:val="00F4247E"/>
    <w:rsid w:val="01E339B3"/>
    <w:rsid w:val="04B70785"/>
    <w:rsid w:val="07181283"/>
    <w:rsid w:val="07D51A8B"/>
    <w:rsid w:val="086B7BA7"/>
    <w:rsid w:val="092E7E7E"/>
    <w:rsid w:val="15F335E7"/>
    <w:rsid w:val="16B17467"/>
    <w:rsid w:val="17196EF8"/>
    <w:rsid w:val="17465999"/>
    <w:rsid w:val="17D7387E"/>
    <w:rsid w:val="17F429AA"/>
    <w:rsid w:val="19BA53C9"/>
    <w:rsid w:val="1C202C5C"/>
    <w:rsid w:val="1C6963B1"/>
    <w:rsid w:val="1C784846"/>
    <w:rsid w:val="1D0E6F59"/>
    <w:rsid w:val="1D594678"/>
    <w:rsid w:val="1DF93765"/>
    <w:rsid w:val="1E5D1F46"/>
    <w:rsid w:val="1F525822"/>
    <w:rsid w:val="1FC151C3"/>
    <w:rsid w:val="20522BB1"/>
    <w:rsid w:val="2188386C"/>
    <w:rsid w:val="220A23E4"/>
    <w:rsid w:val="2533478E"/>
    <w:rsid w:val="25AF524A"/>
    <w:rsid w:val="26B75F6B"/>
    <w:rsid w:val="26C37F35"/>
    <w:rsid w:val="29C16F63"/>
    <w:rsid w:val="2BE315B0"/>
    <w:rsid w:val="2C925031"/>
    <w:rsid w:val="2D2B530B"/>
    <w:rsid w:val="2ECC76E0"/>
    <w:rsid w:val="31E4247E"/>
    <w:rsid w:val="31EA7E07"/>
    <w:rsid w:val="35732F61"/>
    <w:rsid w:val="35A52C64"/>
    <w:rsid w:val="367E6AA5"/>
    <w:rsid w:val="376E2676"/>
    <w:rsid w:val="380A4A95"/>
    <w:rsid w:val="389524E8"/>
    <w:rsid w:val="396401D4"/>
    <w:rsid w:val="3A4B7556"/>
    <w:rsid w:val="3A5B15D7"/>
    <w:rsid w:val="3AE6021D"/>
    <w:rsid w:val="3CDC4526"/>
    <w:rsid w:val="3CF916BC"/>
    <w:rsid w:val="3D2757A1"/>
    <w:rsid w:val="41F533C3"/>
    <w:rsid w:val="42356D90"/>
    <w:rsid w:val="42A0217B"/>
    <w:rsid w:val="42C130B5"/>
    <w:rsid w:val="42F17338"/>
    <w:rsid w:val="44E81E5A"/>
    <w:rsid w:val="456F0CFB"/>
    <w:rsid w:val="45813EBC"/>
    <w:rsid w:val="45A71B75"/>
    <w:rsid w:val="468E6891"/>
    <w:rsid w:val="483F42E6"/>
    <w:rsid w:val="48CF7268"/>
    <w:rsid w:val="4A30467E"/>
    <w:rsid w:val="4A96452E"/>
    <w:rsid w:val="4B047121"/>
    <w:rsid w:val="4BAF13B8"/>
    <w:rsid w:val="4CD60F91"/>
    <w:rsid w:val="4D3B09E7"/>
    <w:rsid w:val="52A61C7F"/>
    <w:rsid w:val="56036B30"/>
    <w:rsid w:val="581159BD"/>
    <w:rsid w:val="5B56009A"/>
    <w:rsid w:val="5DA16A52"/>
    <w:rsid w:val="5ECE010D"/>
    <w:rsid w:val="5ED66574"/>
    <w:rsid w:val="5F3054BA"/>
    <w:rsid w:val="5F7579E5"/>
    <w:rsid w:val="6042276E"/>
    <w:rsid w:val="61027721"/>
    <w:rsid w:val="64B912B6"/>
    <w:rsid w:val="664B39FF"/>
    <w:rsid w:val="67D53EC8"/>
    <w:rsid w:val="67D96C22"/>
    <w:rsid w:val="693B3D95"/>
    <w:rsid w:val="69E71C90"/>
    <w:rsid w:val="6B013226"/>
    <w:rsid w:val="6D7952F5"/>
    <w:rsid w:val="6E5D181D"/>
    <w:rsid w:val="7134117C"/>
    <w:rsid w:val="7242075C"/>
    <w:rsid w:val="72935EE4"/>
    <w:rsid w:val="73005B71"/>
    <w:rsid w:val="74E96DFB"/>
    <w:rsid w:val="75B01AD0"/>
    <w:rsid w:val="7616748B"/>
    <w:rsid w:val="771A4351"/>
    <w:rsid w:val="773D4FE2"/>
    <w:rsid w:val="791800B8"/>
    <w:rsid w:val="7BF24BF0"/>
    <w:rsid w:val="7CFC4F7F"/>
    <w:rsid w:val="7D037B23"/>
    <w:rsid w:val="7D247282"/>
    <w:rsid w:val="7DD76804"/>
    <w:rsid w:val="7DFC3B04"/>
    <w:rsid w:val="7E2272E3"/>
    <w:rsid w:val="7F3B154E"/>
    <w:rsid w:val="7FB641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qFormat/>
    <w:uiPriority w:val="0"/>
    <w:pPr>
      <w:jc w:val="left"/>
    </w:pPr>
  </w:style>
  <w:style w:type="paragraph" w:styleId="4">
    <w:name w:val="Balloon Text"/>
    <w:basedOn w:val="1"/>
    <w:link w:val="13"/>
    <w:qFormat/>
    <w:uiPriority w:val="0"/>
    <w:rPr>
      <w:sz w:val="18"/>
      <w:szCs w:val="18"/>
    </w:rPr>
  </w:style>
  <w:style w:type="paragraph" w:styleId="5">
    <w:name w:val="footer"/>
    <w:basedOn w:val="1"/>
    <w:link w:val="17"/>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annotation subject"/>
    <w:basedOn w:val="3"/>
    <w:next w:val="3"/>
    <w:link w:val="15"/>
    <w:qFormat/>
    <w:uiPriority w:val="0"/>
    <w:rPr>
      <w:b/>
      <w:bCs/>
    </w:rPr>
  </w:style>
  <w:style w:type="character" w:styleId="11">
    <w:name w:val="page number"/>
    <w:basedOn w:val="10"/>
    <w:qFormat/>
    <w:uiPriority w:val="0"/>
  </w:style>
  <w:style w:type="character" w:styleId="12">
    <w:name w:val="annotation reference"/>
    <w:basedOn w:val="10"/>
    <w:qFormat/>
    <w:uiPriority w:val="0"/>
    <w:rPr>
      <w:sz w:val="21"/>
      <w:szCs w:val="21"/>
    </w:rPr>
  </w:style>
  <w:style w:type="character" w:customStyle="1" w:styleId="13">
    <w:name w:val="批注框文本 Char"/>
    <w:basedOn w:val="10"/>
    <w:link w:val="4"/>
    <w:qFormat/>
    <w:uiPriority w:val="0"/>
    <w:rPr>
      <w:rFonts w:asciiTheme="minorHAnsi" w:hAnsiTheme="minorHAnsi" w:eastAsiaTheme="minorEastAsia" w:cstheme="minorBidi"/>
      <w:kern w:val="2"/>
      <w:sz w:val="18"/>
      <w:szCs w:val="18"/>
    </w:rPr>
  </w:style>
  <w:style w:type="character" w:customStyle="1" w:styleId="14">
    <w:name w:val="批注文字 Char"/>
    <w:basedOn w:val="10"/>
    <w:link w:val="3"/>
    <w:qFormat/>
    <w:uiPriority w:val="0"/>
    <w:rPr>
      <w:rFonts w:asciiTheme="minorHAnsi" w:hAnsiTheme="minorHAnsi" w:eastAsiaTheme="minorEastAsia" w:cstheme="minorBidi"/>
      <w:kern w:val="2"/>
      <w:sz w:val="21"/>
      <w:szCs w:val="24"/>
    </w:rPr>
  </w:style>
  <w:style w:type="character" w:customStyle="1" w:styleId="15">
    <w:name w:val="批注主题 Char"/>
    <w:basedOn w:val="14"/>
    <w:link w:val="8"/>
    <w:qFormat/>
    <w:uiPriority w:val="0"/>
  </w:style>
  <w:style w:type="character" w:customStyle="1" w:styleId="16">
    <w:name w:val="页眉 Char"/>
    <w:basedOn w:val="10"/>
    <w:link w:val="6"/>
    <w:qFormat/>
    <w:uiPriority w:val="0"/>
    <w:rPr>
      <w:rFonts w:asciiTheme="minorHAnsi" w:hAnsiTheme="minorHAnsi" w:eastAsiaTheme="minorEastAsia" w:cstheme="minorBidi"/>
      <w:kern w:val="2"/>
      <w:sz w:val="18"/>
      <w:szCs w:val="18"/>
    </w:rPr>
  </w:style>
  <w:style w:type="character" w:customStyle="1" w:styleId="17">
    <w:name w:val="页脚 Char"/>
    <w:basedOn w:val="10"/>
    <w:link w:val="5"/>
    <w:qFormat/>
    <w:uiPriority w:val="0"/>
    <w:rPr>
      <w:rFonts w:asciiTheme="minorHAnsi" w:hAnsiTheme="minorHAnsi" w:eastAsiaTheme="minorEastAsia" w:cstheme="minorBidi"/>
      <w:kern w:val="2"/>
      <w:sz w:val="18"/>
      <w:szCs w:val="18"/>
    </w:rPr>
  </w:style>
  <w:style w:type="character" w:customStyle="1" w:styleId="18">
    <w:name w:val="font2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16</Pages>
  <Words>9306</Words>
  <Characters>9902</Characters>
  <Lines>65</Lines>
  <Paragraphs>18</Paragraphs>
  <TotalTime>140</TotalTime>
  <ScaleCrop>false</ScaleCrop>
  <LinksUpToDate>false</LinksUpToDate>
  <CharactersWithSpaces>9982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2022-10-08T03:11:00Z</dcterms:created>
  <dc:creator>耳语。</dc:creator>
  <cp:lastModifiedBy>Administrator</cp:lastModifiedBy>
  <dcterms:modified xsi:type="dcterms:W3CDTF">2023-01-31T05:18:30Z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A05BC1217ED741B294CC5560CE6F934F</vt:lpwstr>
  </property>
</Properties>
</file>