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center"/>
        <w:outlineLvl w:val="2"/>
        <w:rPr>
          <w:rFonts w:ascii="微软雅黑" w:cs="宋体" w:eastAsia="微软雅黑" w:hAnsi="微软雅黑"/>
          <w:b/>
          <w:bCs/>
          <w:color w:val="333333"/>
          <w:kern w:val="0"/>
          <w:sz w:val="28"/>
          <w:szCs w:val="28"/>
        </w:rPr>
      </w:pPr>
      <w:r>
        <w:rPr>
          <w:rFonts w:ascii="微软雅黑" w:cs="宋体" w:eastAsia="微软雅黑" w:hAnsi="微软雅黑" w:hint="eastAsia"/>
          <w:b/>
          <w:bCs/>
          <w:color w:val="333333"/>
          <w:kern w:val="0"/>
          <w:sz w:val="28"/>
          <w:szCs w:val="28"/>
        </w:rPr>
        <w:t>中国（河南）自由贸易试验区洛阳片区城乡融合发展局公告</w:t>
      </w:r>
    </w:p>
    <w:p>
      <w:pPr>
        <w:pStyle w:val="style0"/>
        <w:widowControl/>
        <w:jc w:val="center"/>
        <w:outlineLvl w:val="2"/>
        <w:rPr>
          <w:rFonts w:ascii="微软雅黑" w:cs="宋体" w:eastAsia="微软雅黑" w:hAnsi="微软雅黑"/>
          <w:b/>
          <w:bCs/>
          <w:color w:val="333333"/>
          <w:kern w:val="0"/>
          <w:sz w:val="28"/>
          <w:szCs w:val="28"/>
        </w:rPr>
      </w:pPr>
      <w:r>
        <w:rPr>
          <w:rFonts w:ascii="微软雅黑" w:cs="宋体" w:eastAsia="微软雅黑" w:hAnsi="微软雅黑" w:hint="eastAsia"/>
          <w:b/>
          <w:bCs/>
          <w:color w:val="333333"/>
          <w:kern w:val="0"/>
          <w:sz w:val="28"/>
          <w:szCs w:val="28"/>
        </w:rPr>
        <w:t>【2022】第</w:t>
      </w:r>
      <w:r>
        <w:rPr>
          <w:rFonts w:ascii="微软雅黑" w:cs="宋体" w:eastAsia="微软雅黑" w:hAnsi="微软雅黑" w:hint="eastAsia"/>
          <w:b/>
          <w:bCs/>
          <w:color w:val="333333"/>
          <w:kern w:val="0"/>
          <w:sz w:val="28"/>
          <w:szCs w:val="28"/>
        </w:rPr>
        <w:t>2</w:t>
      </w:r>
      <w:r>
        <w:rPr>
          <w:rFonts w:ascii="微软雅黑" w:cs="宋体" w:eastAsia="微软雅黑" w:hAnsi="微软雅黑" w:hint="eastAsia"/>
          <w:b/>
          <w:bCs/>
          <w:color w:val="333333"/>
          <w:kern w:val="0"/>
          <w:sz w:val="28"/>
          <w:szCs w:val="28"/>
        </w:rPr>
        <w:t>号</w:t>
      </w:r>
    </w:p>
    <w:p>
      <w:pPr>
        <w:pStyle w:val="style0"/>
        <w:widowControl/>
        <w:spacing w:before="100" w:beforeAutospacing="true" w:after="100" w:afterAutospacing="true"/>
        <w:ind w:firstLine="480"/>
        <w:rPr>
          <w:rFonts w:ascii="宋体" w:cs="宋体" w:eastAsia="宋体" w:hAnsi="宋体"/>
          <w:color w:val="333333"/>
          <w:kern w:val="0"/>
          <w:sz w:val="28"/>
          <w:szCs w:val="30"/>
        </w:rPr>
      </w:pP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根据《兽药管理条例》《兽药生产质量管理规范》（2020年修订）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、《兽药生产质量管理规范检查验收办法》（农业部公告第2262号）、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《农业部办公厅关于兽药生产许可证核发下放衔接工作的通知》（农办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医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〔2015〕11号）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以及农业农村部公告第293号等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规定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要求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，经现场检查及审核，普莱柯生物工程股份有限公司符合兽药GMP规范要求及兽药生产许可证核发条件，现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予以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核发《兽药GMP证书》和《兽药生产许可证》。</w:t>
      </w:r>
      <w:bookmarkStart w:id="0" w:name="_GoBack"/>
      <w:bookmarkEnd w:id="0"/>
    </w:p>
    <w:p>
      <w:pPr>
        <w:pStyle w:val="style0"/>
        <w:widowControl/>
        <w:spacing w:before="100" w:beforeAutospacing="true" w:after="100" w:afterAutospacing="true"/>
        <w:ind w:firstLine="480"/>
        <w:rPr>
          <w:rFonts w:ascii="宋体" w:cs="宋体" w:eastAsia="宋体" w:hAnsi="宋体"/>
          <w:color w:val="333333"/>
          <w:kern w:val="0"/>
          <w:sz w:val="28"/>
          <w:szCs w:val="30"/>
        </w:rPr>
      </w:pP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特此公告。</w:t>
      </w:r>
    </w:p>
    <w:p>
      <w:pPr>
        <w:pStyle w:val="style2"/>
        <w:shd w:val="clear" w:color="auto" w:fill="ffffff"/>
        <w:spacing w:before="0" w:after="0"/>
        <w:jc w:val="center"/>
        <w:rPr>
          <w:rFonts w:ascii="微软雅黑" w:eastAsia="微软雅黑" w:hAnsi="微软雅黑"/>
          <w:b w:val="false"/>
          <w:bCs w:val="false"/>
          <w:color w:val="333333"/>
          <w:spacing w:val="8"/>
          <w:sz w:val="22"/>
          <w:szCs w:val="24"/>
        </w:rPr>
      </w:pP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 </w:t>
      </w:r>
    </w:p>
    <w:p>
      <w:pPr>
        <w:pStyle w:val="style0"/>
        <w:widowControl/>
        <w:spacing w:before="100" w:beforeAutospacing="true" w:after="100" w:afterAutospacing="true"/>
        <w:ind w:firstLine="560" w:firstLineChars="200"/>
        <w:rPr>
          <w:rFonts w:ascii="微软雅黑" w:cs="宋体" w:eastAsia="微软雅黑" w:hAnsi="微软雅黑"/>
          <w:color w:val="333333"/>
          <w:kern w:val="0"/>
          <w:sz w:val="24"/>
          <w:szCs w:val="27"/>
        </w:rPr>
      </w:pP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附件： 兽药GMP及生产许可证书目录</w:t>
      </w:r>
    </w:p>
    <w:p>
      <w:pPr>
        <w:pStyle w:val="style0"/>
        <w:widowControl/>
        <w:spacing w:before="100" w:beforeAutospacing="true" w:after="100" w:afterAutospacing="true"/>
        <w:rPr>
          <w:rFonts w:ascii="微软雅黑" w:cs="宋体" w:eastAsia="微软雅黑" w:hAnsi="微软雅黑"/>
          <w:color w:val="333333"/>
          <w:kern w:val="0"/>
          <w:sz w:val="24"/>
          <w:szCs w:val="27"/>
        </w:rPr>
      </w:pPr>
      <w:r>
        <w:rPr>
          <w:rFonts w:ascii="宋体" w:cs="宋体" w:eastAsia="宋体" w:hAnsi="宋体" w:hint="eastAsia"/>
          <w:color w:val="333333"/>
          <w:kern w:val="0"/>
          <w:sz w:val="30"/>
          <w:szCs w:val="30"/>
        </w:rPr>
        <w:t> </w:t>
      </w:r>
    </w:p>
    <w:p>
      <w:pPr>
        <w:pStyle w:val="style0"/>
        <w:widowControl/>
        <w:ind w:firstLine="480"/>
        <w:jc w:val="right"/>
        <w:rPr>
          <w:rFonts w:ascii="宋体" w:cs="宋体" w:eastAsia="宋体" w:hAnsi="宋体"/>
          <w:color w:val="333333"/>
          <w:kern w:val="0"/>
          <w:sz w:val="28"/>
          <w:szCs w:val="30"/>
        </w:rPr>
      </w:pP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中国（河南）自由贸易试验区洛阳片区</w:t>
      </w:r>
    </w:p>
    <w:p>
      <w:pPr>
        <w:pStyle w:val="style0"/>
        <w:widowControl/>
        <w:ind w:firstLine="5239" w:firstLineChars="1871"/>
        <w:rPr>
          <w:rFonts w:ascii="宋体" w:cs="宋体" w:eastAsia="宋体" w:hAnsi="宋体"/>
          <w:color w:val="333333"/>
          <w:kern w:val="0"/>
          <w:sz w:val="28"/>
          <w:szCs w:val="30"/>
        </w:rPr>
      </w:pP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城乡融合发展局</w:t>
      </w:r>
    </w:p>
    <w:p>
      <w:pPr>
        <w:pStyle w:val="style0"/>
        <w:widowControl/>
        <w:ind w:right="560" w:firstLine="480"/>
        <w:jc w:val="center"/>
        <w:rPr>
          <w:rFonts w:ascii="宋体" w:cs="宋体" w:eastAsia="宋体" w:hAnsi="宋体"/>
          <w:color w:val="333333"/>
          <w:kern w:val="0"/>
          <w:sz w:val="28"/>
          <w:szCs w:val="30"/>
        </w:rPr>
        <w:sectPr>
          <w:pgSz w:w="11906" w:h="16838" w:orient="portrait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 xml:space="preserve">                             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2022年</w:t>
      </w:r>
      <w:r>
        <w:rPr>
          <w:rFonts w:ascii="宋体" w:cs="宋体" w:eastAsia="宋体" w:hAnsi="宋体" w:hint="default"/>
          <w:color w:val="333333"/>
          <w:kern w:val="0"/>
          <w:sz w:val="28"/>
          <w:szCs w:val="30"/>
          <w:lang w:val="en-US"/>
        </w:rPr>
        <w:t>4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月</w:t>
      </w:r>
      <w:r>
        <w:rPr>
          <w:rFonts w:ascii="宋体" w:cs="宋体" w:eastAsia="宋体" w:hAnsi="宋体" w:hint="default"/>
          <w:color w:val="333333"/>
          <w:kern w:val="0"/>
          <w:sz w:val="28"/>
          <w:szCs w:val="30"/>
          <w:lang w:val="en-US"/>
        </w:rPr>
        <w:t>2</w:t>
      </w:r>
      <w:r>
        <w:rPr>
          <w:rFonts w:ascii="宋体" w:cs="宋体" w:eastAsia="宋体" w:hAnsi="宋体" w:hint="eastAsia"/>
          <w:color w:val="333333"/>
          <w:kern w:val="0"/>
          <w:sz w:val="28"/>
          <w:szCs w:val="30"/>
        </w:rPr>
        <w:t>日</w:t>
      </w:r>
    </w:p>
    <w:p>
      <w:pPr>
        <w:pStyle w:val="style0"/>
        <w:widowControl/>
        <w:ind w:firstLine="482"/>
        <w:jc w:val="left"/>
        <w:rPr>
          <w:rFonts w:ascii="宋体" w:cs="宋体" w:eastAsia="宋体" w:hAnsi="宋体"/>
          <w:b/>
          <w:color w:val="333333"/>
          <w:kern w:val="0"/>
          <w:sz w:val="28"/>
          <w:szCs w:val="30"/>
        </w:rPr>
      </w:pPr>
      <w:r>
        <w:rPr>
          <w:rFonts w:ascii="宋体" w:cs="宋体" w:eastAsia="宋体" w:hAnsi="宋体" w:hint="eastAsia"/>
          <w:b/>
          <w:color w:val="333333"/>
          <w:kern w:val="0"/>
          <w:sz w:val="28"/>
          <w:szCs w:val="30"/>
        </w:rPr>
        <w:t>附件</w:t>
      </w:r>
    </w:p>
    <w:p>
      <w:pPr>
        <w:pStyle w:val="style0"/>
        <w:widowControl/>
        <w:ind w:firstLine="482"/>
        <w:jc w:val="center"/>
        <w:rPr>
          <w:rFonts w:ascii="宋体" w:cs="宋体" w:eastAsia="宋体" w:hAnsi="宋体"/>
          <w:b/>
          <w:color w:val="333333"/>
          <w:kern w:val="0"/>
          <w:sz w:val="28"/>
          <w:szCs w:val="30"/>
        </w:rPr>
      </w:pPr>
      <w:r>
        <w:rPr>
          <w:rFonts w:ascii="宋体" w:cs="宋体" w:eastAsia="宋体" w:hAnsi="宋体" w:hint="eastAsia"/>
          <w:b/>
          <w:color w:val="333333"/>
          <w:kern w:val="0"/>
          <w:sz w:val="28"/>
          <w:szCs w:val="30"/>
        </w:rPr>
        <w:t>兽药GMP及生产许可证书目录</w:t>
      </w:r>
    </w:p>
    <w:tbl>
      <w:tblPr>
        <w:tblStyle w:val="style154"/>
        <w:tblW w:w="14174" w:type="dxa"/>
        <w:tblLayout w:type="fixed"/>
        <w:tblLook w:val="04A0" w:firstRow="1" w:lastRow="0" w:firstColumn="1" w:lastColumn="0" w:noHBand="0" w:noVBand="1"/>
      </w:tblPr>
      <w:tblGrid>
        <w:gridCol w:w="1384"/>
        <w:gridCol w:w="2665"/>
        <w:gridCol w:w="2025"/>
        <w:gridCol w:w="2025"/>
        <w:gridCol w:w="2025"/>
        <w:gridCol w:w="2025"/>
        <w:gridCol w:w="2025"/>
      </w:tblGrid>
      <w:tr>
        <w:trPr>
          <w:trHeight w:val="723" w:hRule="atLeast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宋体" w:cs="宋体" w:eastAsia="宋体" w:hAnsi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宋体" w:cs="宋体" w:eastAsia="宋体" w:hAnsi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333333"/>
                <w:kern w:val="0"/>
                <w:sz w:val="24"/>
                <w:szCs w:val="24"/>
              </w:rPr>
              <w:t>生产范围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宋体" w:cs="宋体" w:eastAsia="宋体" w:hAnsi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333333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宋体" w:cs="宋体" w:eastAsia="宋体" w:hAnsi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333333"/>
                <w:kern w:val="0"/>
                <w:sz w:val="24"/>
                <w:szCs w:val="24"/>
              </w:rPr>
              <w:t>GMP证书号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宋体" w:cs="宋体" w:eastAsia="宋体" w:hAnsi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333333"/>
                <w:kern w:val="0"/>
                <w:sz w:val="24"/>
                <w:szCs w:val="24"/>
              </w:rPr>
              <w:t>生产许可证号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宋体" w:cs="宋体" w:eastAsia="宋体" w:hAnsi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333333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2025" w:type="dxa"/>
            <w:tcBorders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center"/>
              <w:rPr>
                <w:rFonts w:ascii="宋体" w:cs="宋体" w:eastAsia="宋体" w:hAnsi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6016" w:hRule="atLeast"/>
        </w:trPr>
        <w:tc>
          <w:tcPr>
            <w:tcW w:w="1384" w:type="dxa"/>
            <w:tcBorders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普莱柯生物工程股份有限公司</w:t>
            </w:r>
          </w:p>
        </w:tc>
        <w:tc>
          <w:tcPr>
            <w:tcW w:w="2665" w:type="dxa"/>
            <w:tcBorders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翠微路：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胚培养病毒活疫苗、细胞培养病毒活疫苗、细胞培养病毒灭活疫苗（2条）、细菌灭活疫苗、细胞悬浮培养病毒灭活疫苗（含细胞悬浮培养病毒亚单位疫苗和细胞悬浮培养亚单位疫苗）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滨河路：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冻干粉针剂、最终灭菌大容量非静脉注射剂、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口服溶液剂、颗粒剂、粉剂/预混剂、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非氯消毒剂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（固体）、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非氯消毒剂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（液体）、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胚培养病毒灭活疫苗（2条）、细菌灭活疫苗（含细菌培养亚单位疫苗）（2条）、卵黄抗体、细胞悬浮培养病毒亚单位疫苗</w:t>
            </w:r>
          </w:p>
        </w:tc>
        <w:tc>
          <w:tcPr>
            <w:tcW w:w="2025" w:type="dxa"/>
            <w:tcBorders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生产地址1  中国（河南）自由贸易试验区洛阳片区高新开发区翠微路3号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生产地址2  中国（河南）自由贸易试验区洛阳片区高新开发区天中南路与滨河路交叉口</w:t>
            </w:r>
          </w:p>
        </w:tc>
        <w:tc>
          <w:tcPr>
            <w:tcW w:w="2025" w:type="dxa"/>
            <w:tcBorders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GMP证书1：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（202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  <w:highlight w:val="none"/>
              </w:rPr>
              <w:t>兽药GMP证字160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  <w:highlight w:val="none"/>
                <w:lang w:val="en-US"/>
              </w:rPr>
              <w:t>14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  <w:highlight w:val="none"/>
              </w:rPr>
              <w:t>号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GMP证书2：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（20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22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）兽药GMP证字160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07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025" w:type="dxa"/>
            <w:tcBorders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（202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）兽药生产证字16002号</w:t>
            </w:r>
          </w:p>
        </w:tc>
        <w:tc>
          <w:tcPr>
            <w:tcW w:w="2025" w:type="dxa"/>
            <w:tcBorders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GMP证书1：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29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日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GMP证书2：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22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日</w:t>
            </w: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生产许可证：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  <w:lang w:val="en-US"/>
              </w:rPr>
              <w:t>22</w:t>
            </w:r>
            <w:r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2025" w:type="dxa"/>
            <w:tcBorders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333333"/>
                <w:kern w:val="0"/>
                <w:sz w:val="24"/>
                <w:szCs w:val="24"/>
              </w:rPr>
              <w:t>生物制品生产线复验、原址改扩建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2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宋体" w:eastAsia="宋体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097"/>
    <w:qFormat/>
    <w:uiPriority w:val="9"/>
    <w:pPr>
      <w:widowControl/>
      <w:spacing w:before="100" w:beforeAutospacing="true" w:after="100" w:afterAutospacing="true"/>
      <w:jc w:val="left"/>
      <w:outlineLvl w:val="2"/>
    </w:pPr>
    <w:rPr>
      <w:rFonts w:ascii="宋体" w:cs="宋体" w:eastAsia="宋体" w:hAnsi="宋体"/>
      <w:b/>
      <w:bCs/>
      <w:kern w:val="0"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8"/>
    <w:uiPriority w:val="99"/>
    <w:pPr/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标题 3 Char"/>
    <w:basedOn w:val="style65"/>
    <w:next w:val="style4097"/>
    <w:link w:val="style3"/>
    <w:uiPriority w:val="9"/>
    <w:rPr>
      <w:rFonts w:ascii="宋体" w:cs="宋体" w:eastAsia="宋体" w:hAnsi="宋体"/>
      <w:b/>
      <w:bCs/>
      <w:kern w:val="0"/>
      <w:sz w:val="27"/>
      <w:szCs w:val="27"/>
    </w:rPr>
  </w:style>
  <w:style w:type="character" w:customStyle="1" w:styleId="style4098">
    <w:name w:val="批注框文本 Char"/>
    <w:basedOn w:val="style65"/>
    <w:next w:val="style4098"/>
    <w:link w:val="style153"/>
    <w:uiPriority w:val="99"/>
    <w:rPr>
      <w:sz w:val="18"/>
      <w:szCs w:val="18"/>
    </w:rPr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rFonts w:ascii="Calibri" w:cs="宋体" w:eastAsia="宋体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uiPriority w:val="99"/>
    <w:rPr>
      <w:rFonts w:ascii="Calibri" w:cs="宋体" w:eastAsia="宋体" w:hAnsi="Calibri"/>
      <w:kern w:val="2"/>
      <w:sz w:val="18"/>
      <w:szCs w:val="18"/>
    </w:rPr>
  </w:style>
  <w:style w:type="character" w:customStyle="1" w:styleId="style4101">
    <w:name w:val="标题 2 Char"/>
    <w:basedOn w:val="style65"/>
    <w:next w:val="style4101"/>
    <w:link w:val="style2"/>
    <w:uiPriority w:val="9"/>
    <w:rPr>
      <w:rFonts w:ascii="Cambria" w:cs="宋体" w:eastAsia="宋体" w:hAnsi="Cambria"/>
      <w:b/>
      <w:bCs/>
      <w:kern w:val="2"/>
      <w:sz w:val="32"/>
      <w:szCs w:val="32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679</Words>
  <Pages>2</Pages>
  <Characters>752</Characters>
  <Application>WPS Office</Application>
  <DocSecurity>0</DocSecurity>
  <Paragraphs>40</Paragraphs>
  <ScaleCrop>false</ScaleCrop>
  <LinksUpToDate>false</LinksUpToDate>
  <CharactersWithSpaces>788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2022-03-07T05:35:00Z</dcterms:created>
  <dc:creator>PC</dc:creator>
  <lastModifiedBy>ELE-AL00</lastModifiedBy>
  <dcterms:modified xsi:type="dcterms:W3CDTF">2022-04-02T07:25:17Z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191c8fb9bff54b0cb0bf89d5e1875a7e</vt:lpwstr>
  </property>
</Properties>
</file>