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企业服务工作先进市直部门表彰服务指南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0526722000410300000000000537270100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行政奖励</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《中共洛阳市委办公室</w:t>
      </w:r>
      <w:r>
        <w:rPr>
          <w:rFonts w:ascii="Times New Roman" w:eastAsia="仿宋_GB2312"/>
          <w:color w:val="000000"/>
          <w:sz w:val="32"/>
          <w:szCs w:val="32"/>
        </w:rPr>
        <w:t xml:space="preserve"> </w:t>
      </w:r>
      <w:r>
        <w:rPr>
          <w:rFonts w:ascii="Times New Roman" w:eastAsia="仿宋_GB2312" w:hint="eastAsia"/>
          <w:color w:val="000000"/>
          <w:sz w:val="32"/>
          <w:szCs w:val="32"/>
        </w:rPr>
        <w:t>洛阳市人民政府办公室关于公布我市市级考核评比达标表彰项目的通知》（洛办明电〔</w:t>
      </w:r>
      <w:r>
        <w:rPr>
          <w:rFonts w:ascii="Times New Roman" w:eastAsia="仿宋_GB2312"/>
          <w:color w:val="000000"/>
          <w:sz w:val="32"/>
          <w:szCs w:val="32"/>
        </w:rPr>
        <w:t>2014</w:t>
      </w:r>
      <w:r>
        <w:rPr>
          <w:rFonts w:ascii="Times New Roman" w:eastAsia="仿宋_GB2312" w:hint="eastAsia"/>
          <w:color w:val="000000"/>
          <w:sz w:val="32"/>
          <w:szCs w:val="32"/>
        </w:rPr>
        <w:t>〕</w:t>
      </w:r>
      <w:r>
        <w:rPr>
          <w:rFonts w:ascii="Times New Roman" w:eastAsia="仿宋_GB2312"/>
          <w:color w:val="000000"/>
          <w:sz w:val="32"/>
          <w:szCs w:val="32"/>
        </w:rPr>
        <w:t>34</w:t>
      </w:r>
      <w:r>
        <w:rPr>
          <w:rFonts w:ascii="Times New Roman" w:eastAsia="仿宋_GB2312" w:hint="eastAsia"/>
          <w:color w:val="000000"/>
          <w:sz w:val="32"/>
          <w:szCs w:val="32"/>
        </w:rPr>
        <w:t>号）</w:t>
      </w:r>
      <w:r>
        <w:rPr>
          <w:rFonts w:ascii="Times New Roman" w:eastAsia="仿宋_GB2312"/>
          <w:color w:val="000000"/>
          <w:sz w:val="32"/>
          <w:szCs w:val="32"/>
        </w:rPr>
        <w:t>“</w:t>
      </w:r>
      <w:r>
        <w:rPr>
          <w:rFonts w:ascii="Times New Roman" w:eastAsia="仿宋_GB2312" w:hint="eastAsia"/>
          <w:color w:val="000000"/>
          <w:sz w:val="32"/>
          <w:szCs w:val="32"/>
        </w:rPr>
        <w:t>《洛阳市市级考核评比达标表彰项目汇总表》中第一项市委市政府表彰奖励项目中</w:t>
      </w:r>
      <w:r>
        <w:rPr>
          <w:rFonts w:ascii="Times New Roman" w:eastAsia="仿宋_GB2312"/>
          <w:color w:val="000000"/>
          <w:sz w:val="32"/>
          <w:szCs w:val="32"/>
        </w:rPr>
        <w:t xml:space="preserve"> </w:t>
      </w:r>
      <w:r>
        <w:rPr>
          <w:rFonts w:ascii="Times New Roman" w:eastAsia="仿宋_GB2312" w:hint="eastAsia"/>
          <w:color w:val="000000"/>
          <w:sz w:val="32"/>
          <w:szCs w:val="32"/>
        </w:rPr>
        <w:t>第</w:t>
      </w:r>
      <w:r>
        <w:rPr>
          <w:rFonts w:ascii="Times New Roman" w:eastAsia="仿宋_GB2312"/>
          <w:color w:val="000000"/>
          <w:sz w:val="32"/>
          <w:szCs w:val="32"/>
        </w:rPr>
        <w:t>2</w:t>
      </w:r>
      <w:r>
        <w:rPr>
          <w:rFonts w:ascii="Times New Roman" w:eastAsia="仿宋_GB2312" w:hint="eastAsia"/>
          <w:color w:val="000000"/>
          <w:sz w:val="32"/>
          <w:szCs w:val="32"/>
        </w:rPr>
        <w:t>条，项目名称：洛阳市服务企业工作先进单位和先进个人</w:t>
      </w:r>
      <w:r>
        <w:rPr>
          <w:rFonts w:ascii="Times New Roman" w:eastAsia="仿宋_GB2312"/>
          <w:color w:val="000000"/>
          <w:sz w:val="32"/>
          <w:szCs w:val="32"/>
        </w:rPr>
        <w:t xml:space="preserve"> </w:t>
      </w:r>
      <w:r>
        <w:rPr>
          <w:rFonts w:ascii="Times New Roman" w:eastAsia="仿宋_GB2312" w:hint="eastAsia"/>
          <w:color w:val="000000"/>
          <w:sz w:val="32"/>
          <w:szCs w:val="32"/>
        </w:rPr>
        <w:t>承办单位：市企业服务办公室</w:t>
      </w:r>
      <w:r>
        <w:rPr>
          <w:rFonts w:ascii="Times New Roman" w:eastAsia="仿宋_GB2312"/>
          <w:color w:val="000000"/>
          <w:sz w:val="32"/>
          <w:szCs w:val="32"/>
        </w:rPr>
        <w:t xml:space="preserve"> </w:t>
      </w:r>
      <w:r>
        <w:rPr>
          <w:rFonts w:ascii="Times New Roman" w:eastAsia="仿宋_GB2312" w:hint="eastAsia"/>
          <w:color w:val="000000"/>
          <w:sz w:val="32"/>
          <w:szCs w:val="32"/>
        </w:rPr>
        <w:t>表彰规格：市委、市政府。</w:t>
      </w:r>
      <w:r>
        <w:rPr>
          <w:rFonts w:ascii="Times New Roman" w:eastAsia="仿宋_GB2312"/>
          <w:color w:val="000000"/>
          <w:sz w:val="32"/>
          <w:szCs w:val="32"/>
        </w:rPr>
        <w:t>”</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六、决定机构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中共洛阳市委、洛阳市人民政府。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（一）办理此事项需具备下列条件：</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企业服务信息报送质量较好；</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lastRenderedPageBreak/>
        <w:t>2.</w:t>
      </w:r>
      <w:r>
        <w:rPr>
          <w:rFonts w:ascii="Times New Roman" w:eastAsia="仿宋_GB2312" w:hint="eastAsia"/>
          <w:color w:val="000000"/>
          <w:sz w:val="32"/>
          <w:szCs w:val="32"/>
        </w:rPr>
        <w:t>帮助企业协调解决问题及时高效；</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企业满意度较高；</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4.</w:t>
      </w:r>
      <w:r>
        <w:rPr>
          <w:rFonts w:ascii="Times New Roman" w:eastAsia="仿宋_GB2312" w:hint="eastAsia"/>
          <w:color w:val="000000"/>
          <w:sz w:val="32"/>
          <w:szCs w:val="32"/>
        </w:rPr>
        <w:t>在企业服务工作方面有其他亮点；</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5.</w:t>
      </w:r>
      <w:r>
        <w:rPr>
          <w:rFonts w:ascii="Times New Roman" w:eastAsia="仿宋_GB2312" w:hint="eastAsia"/>
          <w:color w:val="000000"/>
          <w:sz w:val="32"/>
          <w:szCs w:val="32"/>
        </w:rPr>
        <w:t>没有违反综合治理等否决条件。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（二）不准予批准的情形：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不符合条件（一）</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（三）其他需说明的情形：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根据市委市政府要求确定表彰数量。</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申办材料应符合以下要求：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17"/>
        <w:gridCol w:w="709"/>
        <w:gridCol w:w="1276"/>
        <w:gridCol w:w="2126"/>
      </w:tblGrid>
      <w:tr w:rsidR="007E543E">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311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提交材料名称</w:t>
            </w:r>
          </w:p>
        </w:tc>
        <w:tc>
          <w:tcPr>
            <w:tcW w:w="1417"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原件</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份数</w:t>
            </w:r>
          </w:p>
        </w:tc>
        <w:tc>
          <w:tcPr>
            <w:tcW w:w="1276"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纸质</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洛阳市企业服务工作先进市直部门表彰申报表</w:t>
            </w:r>
          </w:p>
        </w:tc>
        <w:tc>
          <w:tcPr>
            <w:tcW w:w="1417"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1276"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0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需加盖申请单位公章，一式</w:t>
            </w:r>
            <w:r>
              <w:rPr>
                <w:rFonts w:ascii="Times New Roman" w:eastAsia="仿宋_GB2312"/>
                <w:color w:val="000000"/>
                <w:sz w:val="28"/>
                <w:szCs w:val="28"/>
              </w:rPr>
              <w:t>3</w:t>
            </w:r>
            <w:r>
              <w:rPr>
                <w:rFonts w:ascii="Times New Roman" w:eastAsia="仿宋_GB2312" w:hint="eastAsia"/>
                <w:color w:val="000000"/>
                <w:sz w:val="28"/>
                <w:szCs w:val="28"/>
              </w:rPr>
              <w:t>份，办理单位留存</w:t>
            </w:r>
            <w:r>
              <w:rPr>
                <w:rFonts w:ascii="Times New Roman" w:eastAsia="仿宋_GB2312"/>
                <w:color w:val="000000"/>
                <w:sz w:val="28"/>
                <w:szCs w:val="28"/>
              </w:rPr>
              <w:t>1</w:t>
            </w:r>
            <w:r>
              <w:rPr>
                <w:rFonts w:ascii="Times New Roman" w:eastAsia="仿宋_GB2312" w:hint="eastAsia"/>
                <w:color w:val="000000"/>
                <w:sz w:val="28"/>
                <w:szCs w:val="28"/>
              </w:rPr>
              <w:t>份，转报市委市政府</w:t>
            </w:r>
            <w:r>
              <w:rPr>
                <w:rFonts w:ascii="Times New Roman" w:eastAsia="仿宋_GB2312"/>
                <w:color w:val="000000"/>
                <w:sz w:val="28"/>
                <w:szCs w:val="28"/>
              </w:rPr>
              <w:t>1</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洛阳市企业服务工作先进市直部门事迹材料</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bl>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7E543E" w:rsidRDefault="00DC7FEC" w:rsidP="00FB022A">
      <w:pPr>
        <w:pStyle w:val="a9"/>
        <w:widowControl w:val="0"/>
        <w:spacing w:line="54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w:t>
      </w:r>
      <w:r w:rsidR="00FB022A">
        <w:rPr>
          <w:rFonts w:ascii="Times New Roman" w:eastAsia="仿宋_GB2312" w:hint="eastAsia"/>
          <w:color w:val="000000"/>
          <w:sz w:val="32"/>
          <w:szCs w:val="32"/>
        </w:rPr>
        <w:t>洛阳市民之家综合受理窗口</w:t>
      </w:r>
      <w:r w:rsidR="00FB022A">
        <w:rPr>
          <w:rFonts w:ascii="Times New Roman" w:eastAsia="仿宋_GB2312" w:hint="eastAsia"/>
          <w:color w:val="000000"/>
          <w:sz w:val="32"/>
          <w:szCs w:val="32"/>
        </w:rPr>
        <w:t>(4</w:t>
      </w:r>
      <w:r w:rsidR="00FB022A">
        <w:rPr>
          <w:rFonts w:ascii="Times New Roman" w:eastAsia="仿宋_GB2312" w:hint="eastAsia"/>
          <w:color w:val="000000"/>
          <w:sz w:val="32"/>
          <w:szCs w:val="32"/>
        </w:rPr>
        <w:t>楼</w:t>
      </w:r>
      <w:r w:rsidR="00FB022A">
        <w:rPr>
          <w:rFonts w:ascii="Times New Roman" w:eastAsia="仿宋_GB2312" w:hint="eastAsia"/>
          <w:color w:val="000000"/>
          <w:sz w:val="32"/>
          <w:szCs w:val="32"/>
        </w:rPr>
        <w:t>A06)</w:t>
      </w:r>
      <w:r w:rsidR="00FB022A">
        <w:rPr>
          <w:rFonts w:ascii="Times New Roman" w:eastAsia="仿宋_GB2312" w:hint="eastAsia"/>
          <w:color w:val="000000"/>
          <w:sz w:val="32"/>
          <w:szCs w:val="32"/>
        </w:rPr>
        <w:t>提交申办材料</w:t>
      </w:r>
      <w:r>
        <w:rPr>
          <w:rFonts w:ascii="Times New Roman" w:eastAsia="仿宋_GB2312" w:hint="eastAsia"/>
          <w:color w:val="000000"/>
          <w:sz w:val="32"/>
          <w:szCs w:val="32"/>
        </w:rPr>
        <w:t>。</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（一）受理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w:t>
      </w:r>
      <w:r>
        <w:rPr>
          <w:rFonts w:ascii="Times New Roman" w:eastAsia="仿宋_GB2312" w:hint="eastAsia"/>
          <w:color w:val="000000"/>
          <w:sz w:val="32"/>
          <w:szCs w:val="32"/>
        </w:rPr>
        <w:lastRenderedPageBreak/>
        <w:t>作日内作出是否受理的决定；不符合规定的，向申请单位出具不予受理通知书。</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（二）审查</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（三）决定</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审查通过的将申请材料报市委市政府研究最终确定。</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（一）法定时限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（二）承诺时限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90</w:t>
      </w:r>
      <w:r>
        <w:rPr>
          <w:rFonts w:ascii="Times New Roman" w:eastAsia="仿宋_GB2312" w:hint="eastAsia"/>
          <w:color w:val="000000"/>
          <w:sz w:val="32"/>
          <w:szCs w:val="32"/>
        </w:rPr>
        <w:t>个工作日。</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十五、咨询方式</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（一）现场咨询</w:t>
      </w:r>
    </w:p>
    <w:p w:rsidR="007E543E" w:rsidRDefault="00FB022A" w:rsidP="00FB022A">
      <w:pPr>
        <w:pStyle w:val="a9"/>
        <w:widowControl w:val="0"/>
        <w:spacing w:line="540" w:lineRule="exact"/>
        <w:ind w:firstLine="640"/>
        <w:rPr>
          <w:rFonts w:ascii="Times New Roman" w:eastAsia="仿宋_GB2312"/>
          <w:color w:val="000000"/>
          <w:sz w:val="32"/>
          <w:szCs w:val="32"/>
        </w:rPr>
      </w:pPr>
      <w:r>
        <w:rPr>
          <w:rFonts w:ascii="Times New Roman" w:eastAsia="仿宋_GB2312" w:hint="eastAsia"/>
          <w:color w:val="000000"/>
          <w:sz w:val="32"/>
          <w:szCs w:val="32"/>
        </w:rPr>
        <w:lastRenderedPageBreak/>
        <w:t>洛阳市民之家综合受理窗口</w:t>
      </w:r>
      <w:r>
        <w:rPr>
          <w:rFonts w:ascii="Times New Roman" w:eastAsia="仿宋_GB2312" w:hint="eastAsia"/>
          <w:color w:val="000000"/>
          <w:sz w:val="32"/>
          <w:szCs w:val="32"/>
        </w:rPr>
        <w:t>(4</w:t>
      </w:r>
      <w:r>
        <w:rPr>
          <w:rFonts w:ascii="Times New Roman" w:eastAsia="仿宋_GB2312" w:hint="eastAsia"/>
          <w:color w:val="000000"/>
          <w:sz w:val="32"/>
          <w:szCs w:val="32"/>
        </w:rPr>
        <w:t>楼</w:t>
      </w:r>
      <w:r>
        <w:rPr>
          <w:rFonts w:ascii="Times New Roman" w:eastAsia="仿宋_GB2312" w:hint="eastAsia"/>
          <w:color w:val="000000"/>
          <w:sz w:val="32"/>
          <w:szCs w:val="32"/>
        </w:rPr>
        <w:t>A06)</w:t>
      </w:r>
      <w:r>
        <w:rPr>
          <w:rFonts w:ascii="Times New Roman" w:eastAsia="仿宋_GB2312" w:hint="eastAsia"/>
          <w:color w:val="000000"/>
          <w:sz w:val="32"/>
          <w:szCs w:val="32"/>
        </w:rPr>
        <w:t>。</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（二）电话咨询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（三）网上咨询</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（三）网上监督投诉</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FB022A">
        <w:rPr>
          <w:rFonts w:ascii="Times New Roman" w:eastAsia="仿宋_GB2312" w:hint="eastAsia"/>
          <w:color w:val="000000"/>
          <w:sz w:val="32"/>
          <w:szCs w:val="32"/>
        </w:rPr>
        <w:t>0</w:t>
      </w:r>
      <w:r>
        <w:rPr>
          <w:rFonts w:ascii="Times New Roman" w:eastAsia="仿宋_GB2312"/>
          <w:color w:val="000000"/>
          <w:sz w:val="32"/>
          <w:szCs w:val="32"/>
        </w:rPr>
        <w:t>0-17:</w:t>
      </w:r>
      <w:r w:rsidR="00FB022A">
        <w:rPr>
          <w:rFonts w:ascii="Times New Roman" w:eastAsia="仿宋_GB2312" w:hint="eastAsia"/>
          <w:color w:val="000000"/>
          <w:sz w:val="32"/>
          <w:szCs w:val="32"/>
        </w:rPr>
        <w:t>0</w:t>
      </w:r>
      <w:r>
        <w:rPr>
          <w:rFonts w:ascii="Times New Roman" w:eastAsia="仿宋_GB2312"/>
          <w:color w:val="000000"/>
          <w:sz w:val="32"/>
          <w:szCs w:val="32"/>
        </w:rPr>
        <w:t>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（一）办理进程查询方式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lastRenderedPageBreak/>
        <w:t>3.</w:t>
      </w:r>
      <w:r>
        <w:rPr>
          <w:rFonts w:ascii="Times New Roman" w:eastAsia="仿宋_GB2312" w:hint="eastAsia"/>
          <w:b/>
          <w:color w:val="000000"/>
          <w:sz w:val="32"/>
          <w:szCs w:val="32"/>
        </w:rPr>
        <w:t>网上查询</w:t>
      </w:r>
    </w:p>
    <w:p w:rsidR="007E543E" w:rsidRDefault="00D33B60" w:rsidP="00DC7FEC">
      <w:pPr>
        <w:pStyle w:val="a9"/>
        <w:widowControl w:val="0"/>
        <w:spacing w:line="60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（二）结果公开查询方式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D33B60" w:rsidP="00DC7FEC">
      <w:pPr>
        <w:pStyle w:val="a9"/>
        <w:widowControl w:val="0"/>
        <w:spacing w:line="60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：略</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spacing w:line="600" w:lineRule="exact"/>
        <w:rPr>
          <w:rFonts w:eastAsia="黑体"/>
          <w:bCs/>
          <w:color w:val="000000"/>
          <w:spacing w:val="4"/>
          <w:sz w:val="32"/>
          <w:szCs w:val="32"/>
        </w:rPr>
      </w:pPr>
      <w:r>
        <w:rPr>
          <w:color w:val="000000"/>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1</w:t>
      </w:r>
    </w:p>
    <w:p w:rsidR="007E543E" w:rsidRDefault="007E543E">
      <w:pPr>
        <w:spacing w:line="600" w:lineRule="exact"/>
        <w:rPr>
          <w:rFonts w:eastAsia="仿宋_GB2312"/>
          <w:bCs/>
          <w:color w:val="000000"/>
          <w:spacing w:val="4"/>
          <w:sz w:val="32"/>
          <w:szCs w:val="32"/>
        </w:rPr>
      </w:pPr>
    </w:p>
    <w:p w:rsidR="007E543E" w:rsidRDefault="00DC7FEC">
      <w:pPr>
        <w:spacing w:line="600" w:lineRule="exact"/>
        <w:jc w:val="center"/>
        <w:rPr>
          <w:rFonts w:eastAsia="仿宋_GB2312"/>
          <w:color w:val="000000"/>
          <w:sz w:val="32"/>
          <w:szCs w:val="32"/>
        </w:rPr>
      </w:pPr>
      <w:r>
        <w:rPr>
          <w:rFonts w:eastAsia="仿宋_GB2312" w:hint="eastAsia"/>
          <w:color w:val="000000"/>
          <w:sz w:val="32"/>
          <w:szCs w:val="32"/>
        </w:rPr>
        <w:t>略</w:t>
      </w:r>
    </w:p>
    <w:p w:rsidR="007E543E" w:rsidRDefault="007E543E">
      <w:pPr>
        <w:spacing w:line="600" w:lineRule="exact"/>
        <w:rPr>
          <w:color w:val="000000"/>
        </w:rPr>
      </w:pPr>
    </w:p>
    <w:p w:rsidR="007E543E" w:rsidRDefault="00DC7FEC">
      <w:pPr>
        <w:spacing w:line="600" w:lineRule="exact"/>
        <w:rPr>
          <w:rFonts w:eastAsia="黑体"/>
          <w:bCs/>
          <w:color w:val="000000"/>
          <w:spacing w:val="4"/>
          <w:sz w:val="32"/>
          <w:szCs w:val="32"/>
        </w:rPr>
      </w:pPr>
      <w:r>
        <w:rPr>
          <w:color w:val="000000"/>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2</w:t>
      </w:r>
    </w:p>
    <w:p w:rsidR="007E543E" w:rsidRDefault="007E543E">
      <w:pPr>
        <w:spacing w:line="600" w:lineRule="exact"/>
        <w:rPr>
          <w:rFonts w:eastAsia="黑体"/>
          <w:bCs/>
          <w:color w:val="000000"/>
          <w:spacing w:val="4"/>
          <w:sz w:val="32"/>
          <w:szCs w:val="32"/>
        </w:rPr>
      </w:pPr>
    </w:p>
    <w:p w:rsidR="007E543E" w:rsidRDefault="00297839" w:rsidP="00DC7FEC">
      <w:pPr>
        <w:ind w:firstLineChars="200" w:firstLine="640"/>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267325" cy="6038850"/>
            <wp:effectExtent l="19050" t="0" r="9525" b="0"/>
            <wp:docPr id="11" name="图片 11" descr="企业服务表彰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企业服务表彰工作流程图"/>
                    <pic:cNvPicPr>
                      <a:picLocks noChangeAspect="1" noChangeArrowheads="1"/>
                    </pic:cNvPicPr>
                  </pic:nvPicPr>
                  <pic:blipFill>
                    <a:blip r:embed="rId10"/>
                    <a:srcRect/>
                    <a:stretch>
                      <a:fillRect/>
                    </a:stretch>
                  </pic:blipFill>
                  <pic:spPr bwMode="auto">
                    <a:xfrm>
                      <a:off x="0" y="0"/>
                      <a:ext cx="5267325" cy="6038850"/>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spacing w:line="600" w:lineRule="exact"/>
        <w:rPr>
          <w:rFonts w:eastAsia="黑体" w:hAnsi="黑体"/>
          <w:bCs/>
          <w:color w:val="000000"/>
          <w:spacing w:val="4"/>
          <w:sz w:val="32"/>
          <w:szCs w:val="32"/>
        </w:rPr>
      </w:pPr>
      <w:r>
        <w:rPr>
          <w:rFonts w:eastAsia="黑体" w:hAnsi="黑体" w:hint="eastAsia"/>
          <w:bCs/>
          <w:color w:val="000000"/>
          <w:spacing w:val="4"/>
          <w:sz w:val="32"/>
          <w:szCs w:val="32"/>
        </w:rPr>
        <w:lastRenderedPageBreak/>
        <w:t>附件</w:t>
      </w:r>
      <w:r>
        <w:rPr>
          <w:rFonts w:eastAsia="黑体" w:hAnsi="黑体"/>
          <w:bCs/>
          <w:color w:val="000000"/>
          <w:spacing w:val="4"/>
          <w:sz w:val="32"/>
          <w:szCs w:val="32"/>
        </w:rPr>
        <w:t>3</w:t>
      </w:r>
    </w:p>
    <w:p w:rsidR="007E543E" w:rsidRDefault="007E543E">
      <w:pPr>
        <w:spacing w:line="600" w:lineRule="exact"/>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spacing w:line="600" w:lineRule="exact"/>
        <w:rPr>
          <w:rFonts w:eastAsia="黑体" w:hAnsi="黑体"/>
          <w:bCs/>
          <w:color w:val="000000"/>
          <w:spacing w:val="4"/>
          <w:sz w:val="32"/>
          <w:szCs w:val="32"/>
        </w:rPr>
      </w:pPr>
      <w:r>
        <w:rPr>
          <w:rFonts w:eastAsia="仿宋_GB2312"/>
          <w:color w:val="000000"/>
          <w:sz w:val="32"/>
          <w:szCs w:val="32"/>
        </w:rPr>
        <w:br w:type="page"/>
      </w:r>
      <w:r>
        <w:rPr>
          <w:rFonts w:eastAsia="黑体" w:hAnsi="黑体" w:hint="eastAsia"/>
          <w:bCs/>
          <w:color w:val="000000"/>
          <w:spacing w:val="4"/>
          <w:sz w:val="32"/>
          <w:szCs w:val="32"/>
        </w:rPr>
        <w:lastRenderedPageBreak/>
        <w:t>附件</w:t>
      </w:r>
      <w:r>
        <w:rPr>
          <w:rFonts w:eastAsia="黑体" w:hAnsi="黑体"/>
          <w:bCs/>
          <w:color w:val="000000"/>
          <w:spacing w:val="4"/>
          <w:sz w:val="32"/>
          <w:szCs w:val="32"/>
        </w:rPr>
        <w:t>4</w:t>
      </w:r>
    </w:p>
    <w:p w:rsidR="007E543E" w:rsidRDefault="007E543E">
      <w:pPr>
        <w:spacing w:line="600" w:lineRule="exact"/>
        <w:rPr>
          <w:rFonts w:eastAsia="方正小标宋简体"/>
          <w:color w:val="000000"/>
          <w:sz w:val="44"/>
          <w:szCs w:val="44"/>
        </w:rPr>
      </w:pPr>
    </w:p>
    <w:p w:rsidR="007E543E" w:rsidRDefault="00DC7FEC">
      <w:pPr>
        <w:spacing w:line="600" w:lineRule="exact"/>
        <w:jc w:val="center"/>
        <w:rPr>
          <w:rFonts w:eastAsia="仿宋_GB2312"/>
          <w:color w:val="000000"/>
          <w:sz w:val="32"/>
          <w:szCs w:val="32"/>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问：申报条件是什么</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答：企业服务信息报送质量较好；帮助企业协调解决问题及时高效；企业满意度较高；在企业服务工作方面有其他亮点；没有违反综合治理等否决条件。</w:t>
      </w:r>
    </w:p>
    <w:p w:rsidR="007E543E" w:rsidRDefault="007E543E">
      <w:pPr>
        <w:pStyle w:val="a9"/>
        <w:widowControl w:val="0"/>
        <w:spacing w:line="600" w:lineRule="exact"/>
        <w:ind w:firstLine="640"/>
        <w:rPr>
          <w:rFonts w:ascii="Times New Roman" w:eastAsia="仿宋_GB2312"/>
          <w:color w:val="000000"/>
          <w:sz w:val="32"/>
          <w:szCs w:val="32"/>
        </w:rPr>
      </w:pPr>
    </w:p>
    <w:p w:rsidR="007E543E" w:rsidRDefault="007E543E">
      <w:pPr>
        <w:spacing w:line="600" w:lineRule="exact"/>
        <w:ind w:firstLineChars="200" w:firstLine="640"/>
        <w:rPr>
          <w:rFonts w:eastAsia="仿宋_GB2312"/>
          <w:color w:val="000000"/>
          <w:sz w:val="32"/>
          <w:szCs w:val="32"/>
        </w:rPr>
      </w:pPr>
    </w:p>
    <w:p w:rsidR="007E543E" w:rsidRDefault="007E543E" w:rsidP="00FC6678">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E2" w:rsidRDefault="008A3BE2" w:rsidP="007E543E">
      <w:r>
        <w:separator/>
      </w:r>
    </w:p>
  </w:endnote>
  <w:endnote w:type="continuationSeparator" w:id="1">
    <w:p w:rsidR="008A3BE2" w:rsidRDefault="008A3BE2"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D33B60">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D33B60">
      <w:rPr>
        <w:rStyle w:val="a6"/>
        <w:sz w:val="24"/>
        <w:szCs w:val="24"/>
      </w:rPr>
      <w:fldChar w:fldCharType="begin"/>
    </w:r>
    <w:r>
      <w:rPr>
        <w:rStyle w:val="a6"/>
        <w:sz w:val="24"/>
        <w:szCs w:val="24"/>
      </w:rPr>
      <w:instrText xml:space="preserve">PAGE  </w:instrText>
    </w:r>
    <w:r w:rsidR="00D33B60">
      <w:rPr>
        <w:rStyle w:val="a6"/>
        <w:sz w:val="24"/>
        <w:szCs w:val="24"/>
      </w:rPr>
      <w:fldChar w:fldCharType="separate"/>
    </w:r>
    <w:r w:rsidR="00FC6678">
      <w:rPr>
        <w:rStyle w:val="a6"/>
        <w:noProof/>
        <w:sz w:val="24"/>
        <w:szCs w:val="24"/>
      </w:rPr>
      <w:t>9</w:t>
    </w:r>
    <w:r w:rsidR="00D33B60">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E2" w:rsidRDefault="008A3BE2" w:rsidP="007E543E">
      <w:r>
        <w:separator/>
      </w:r>
    </w:p>
  </w:footnote>
  <w:footnote w:type="continuationSeparator" w:id="1">
    <w:p w:rsidR="008A3BE2" w:rsidRDefault="008A3BE2"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1218C"/>
    <w:rsid w:val="000672E1"/>
    <w:rsid w:val="000A433D"/>
    <w:rsid w:val="000C1B25"/>
    <w:rsid w:val="00111D40"/>
    <w:rsid w:val="00116D51"/>
    <w:rsid w:val="00155348"/>
    <w:rsid w:val="001604E4"/>
    <w:rsid w:val="00165FC0"/>
    <w:rsid w:val="001B33DA"/>
    <w:rsid w:val="00297839"/>
    <w:rsid w:val="002A3FDA"/>
    <w:rsid w:val="002D0FE2"/>
    <w:rsid w:val="00317CFD"/>
    <w:rsid w:val="003A4114"/>
    <w:rsid w:val="004719AD"/>
    <w:rsid w:val="004A5BA0"/>
    <w:rsid w:val="004C1B73"/>
    <w:rsid w:val="004D51C1"/>
    <w:rsid w:val="005000A2"/>
    <w:rsid w:val="00515C49"/>
    <w:rsid w:val="00523266"/>
    <w:rsid w:val="005630FD"/>
    <w:rsid w:val="005C4990"/>
    <w:rsid w:val="006D78DB"/>
    <w:rsid w:val="006F6093"/>
    <w:rsid w:val="007021AA"/>
    <w:rsid w:val="00754772"/>
    <w:rsid w:val="00774496"/>
    <w:rsid w:val="00783D06"/>
    <w:rsid w:val="007C212D"/>
    <w:rsid w:val="007E543E"/>
    <w:rsid w:val="008334DE"/>
    <w:rsid w:val="00835ADF"/>
    <w:rsid w:val="00863CDD"/>
    <w:rsid w:val="00865632"/>
    <w:rsid w:val="008A3BE2"/>
    <w:rsid w:val="008F4546"/>
    <w:rsid w:val="008F655D"/>
    <w:rsid w:val="00926468"/>
    <w:rsid w:val="00964063"/>
    <w:rsid w:val="009835EC"/>
    <w:rsid w:val="009B772B"/>
    <w:rsid w:val="009F7F2C"/>
    <w:rsid w:val="00A4559D"/>
    <w:rsid w:val="00AB608A"/>
    <w:rsid w:val="00AD1C42"/>
    <w:rsid w:val="00B25608"/>
    <w:rsid w:val="00B503C6"/>
    <w:rsid w:val="00BB6E39"/>
    <w:rsid w:val="00C104FB"/>
    <w:rsid w:val="00C50712"/>
    <w:rsid w:val="00C81BD0"/>
    <w:rsid w:val="00C921A2"/>
    <w:rsid w:val="00CB38B1"/>
    <w:rsid w:val="00CE5DD6"/>
    <w:rsid w:val="00D2662D"/>
    <w:rsid w:val="00D33B60"/>
    <w:rsid w:val="00D5111F"/>
    <w:rsid w:val="00D62D17"/>
    <w:rsid w:val="00DC7FEC"/>
    <w:rsid w:val="00E30C55"/>
    <w:rsid w:val="00E817C7"/>
    <w:rsid w:val="00E87506"/>
    <w:rsid w:val="00E95DA4"/>
    <w:rsid w:val="00EA1C09"/>
    <w:rsid w:val="00EA2915"/>
    <w:rsid w:val="00EC788B"/>
    <w:rsid w:val="00EF01AA"/>
    <w:rsid w:val="00EF2077"/>
    <w:rsid w:val="00F70C03"/>
    <w:rsid w:val="00F84F8C"/>
    <w:rsid w:val="00FA0F22"/>
    <w:rsid w:val="00FB022A"/>
    <w:rsid w:val="00FC6678"/>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Words>
  <Characters>1500</Characters>
  <Application>Microsoft Office Word</Application>
  <DocSecurity>0</DocSecurity>
  <Lines>12</Lines>
  <Paragraphs>3</Paragraphs>
  <ScaleCrop>false</ScaleCrop>
  <Company>china</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6</cp:revision>
  <cp:lastPrinted>2019-10-24T07:10:00Z</cp:lastPrinted>
  <dcterms:created xsi:type="dcterms:W3CDTF">2020-11-19T08:42:00Z</dcterms:created>
  <dcterms:modified xsi:type="dcterms:W3CDTF">2020-11-19T08:42:00Z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