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x-wmf" Extension="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auto" w:sz="0" w:space="1"/>
          <w:left w:val="none" w:color="auto" w:sz="0" w:space="4"/>
          <w:bottom w:val="none" w:color="auto" w:sz="0" w:space="1"/>
          <w:right w:val="none" w:color="auto" w:sz="0" w:space="4"/>
          <w:between w:val="none" w:color="auto" w:sz="0" w:space="0"/>
        </w:pBdr>
        <w:shd w:val="clear" w:color="auto" w:fill="auto"/>
        <w:wordWrap w:val="0"/>
        <w:spacing w:before="0" w:after="0" w:line="590" w:lineRule="exact"/>
        <w:ind w:left="0" w:leftChars="0" w:right="0" w:firstLine="0" w:firstLineChars="0"/>
        <w:jc w:val="right"/>
        <w:rPr>
          <w:rFonts w:hint="eastAsia" w:ascii="仿宋_GB2312" w:hAnsi="仿宋_GB2312" w:eastAsia="仿宋_GB2312" w:cs="仿宋_GB2312"/>
          <w:b w:val="0"/>
          <w:snapToGrid w:val="0"/>
          <w:color w:val="000000"/>
          <w:w w:val="100"/>
          <w:kern w:val="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val="en-US" w:eastAsia="zh-CN"/>
        </w:rPr>
        <w:t>偃政规-2021-013号</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1590" w:leftChars="300" w:right="0" w:hanging="960" w:hangingChars="30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2080" w:leftChars="0" w:right="0" w:hanging="1440" w:firstLineChars="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pStyle w:val="7"/>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Pr>
          <w:rFonts w:hint="eastAsia" w:ascii="仿宋_GB2312" w:hAnsi="仿宋_GB2312" w:eastAsia="仿宋_GB2312" w:cs="仿宋_GB2312"/>
          <w:snapToGrid w:val="0"/>
          <w:color w:val="000000"/>
          <w:w w:val="100"/>
          <w:kern w:val="0"/>
          <w:sz w:val="32"/>
          <w:szCs w:val="44"/>
          <w:shd w:val="clear" w:color="auto" w:fill="auto"/>
          <w:lang w:eastAsia="zh-CN"/>
        </w:rPr>
      </w:pPr>
      <w:r>
        <w:rPr>
          <w:rFonts w:ascii="宋体" w:hAnsi="宋体" w:eastAsia="宋体" w:cs="黑体"/>
          <w:vanish/>
          <w:color w:val="000000"/>
          <w:kern w:val="0"/>
          <w:sz w:val="31"/>
          <w:szCs w:val="31"/>
          <w:u w:val="none"/>
          <w:shd w:val="clear" w:color="auto" w:fill="auto"/>
          <w:lang w:val="en-US" w:eastAsia="en-US" w:bidi="ar-SA"/>
        </w:rPr>
        <w:pict>
          <v:shape id="图片 2" o:spid="_x0000_s1026" type="#_x0000_t75" style="position:absolute;left:0;margin-left:-0.65pt;margin-top:23.5pt;height:139.7pt;width:442.15pt;rotation:0f;z-index:-251655168;" o:ole="f" fillcolor="#FFFFFF" filled="f" o:preferrelative="t" stroked="f" coordorigin="0,0" coordsize="21600,21600">
            <v:fill on="f" color2="#FFFFFF" focus="0%"/>
            <v:imagedata gain="163840f" blacklevel="0f" gamma="0" o:title="" r:id="rId11"/>
            <o:lock v:ext="edit" position="f" selection="f" grouping="f" rotation="f" cropping="f" text="f" aspectratio="t"/>
          </v:shape>
        </w:pict>
      </w:r>
    </w:p>
    <w:p>
      <w:pPr>
        <w:pStyle w:val="7"/>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Chars="0" w:right="0" w:firstLine="640" w:firstLineChars="20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652" w:lineRule="exact"/>
        <w:ind w:leftChars="0" w:right="0" w:firstLine="640" w:firstLineChars="20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02" w:lineRule="exact"/>
        <w:ind w:left="0" w:leftChars="0" w:right="0" w:firstLine="0" w:firstLineChars="0"/>
        <w:jc w:val="center"/>
        <w:textAlignment w:val="auto"/>
        <w:outlineLvl w:val="9"/>
        <w:rPr>
          <w:rFonts w:hint="eastAsia" w:ascii="Times New Roman" w:hAnsi="Times New Roman" w:eastAsia="仿宋_GB2312" w:cs="仿宋_GB2312"/>
          <w:snapToGrid w:val="0"/>
          <w:color w:val="000000"/>
          <w:w w:val="100"/>
          <w:kern w:val="0"/>
          <w:sz w:val="32"/>
          <w:szCs w:val="32"/>
          <w:shd w:val="clear" w:color="auto" w:fill="auto"/>
        </w:rPr>
      </w:pPr>
      <w:r>
        <w:rPr>
          <w:rFonts w:hint="eastAsia" w:ascii="Times New Roman" w:hAnsi="Times New Roman" w:eastAsia="仿宋_GB2312" w:cs="仿宋_GB2312"/>
          <w:snapToGrid w:val="0"/>
          <w:color w:val="000000"/>
          <w:w w:val="100"/>
          <w:kern w:val="0"/>
          <w:sz w:val="32"/>
          <w:szCs w:val="32"/>
          <w:shd w:val="clear" w:color="auto" w:fill="auto"/>
        </w:rPr>
        <w:t>偃政</w:t>
      </w:r>
      <w:r>
        <w:rPr>
          <w:rFonts w:hint="eastAsia" w:ascii="Times New Roman" w:hAnsi="Times New Roman" w:eastAsia="仿宋_GB2312" w:cs="仿宋_GB2312"/>
          <w:snapToGrid w:val="0"/>
          <w:color w:val="000000"/>
          <w:w w:val="100"/>
          <w:kern w:val="0"/>
          <w:sz w:val="32"/>
          <w:szCs w:val="32"/>
          <w:shd w:val="clear" w:color="auto" w:fill="auto"/>
          <w:lang w:val="en-US" w:eastAsia="zh-CN"/>
        </w:rPr>
        <w:t>办</w:t>
      </w:r>
      <w:r>
        <w:rPr>
          <w:rFonts w:hint="eastAsia" w:ascii="Times New Roman" w:hAnsi="Times New Roman" w:eastAsia="仿宋_GB2312" w:cs="仿宋_GB2312"/>
          <w:snapToGrid w:val="0"/>
          <w:color w:val="000000"/>
          <w:w w:val="100"/>
          <w:kern w:val="0"/>
          <w:sz w:val="32"/>
          <w:szCs w:val="32"/>
          <w:shd w:val="clear" w:color="auto" w:fill="auto"/>
        </w:rPr>
        <w:t>〔</w:t>
      </w:r>
      <w:r>
        <w:rPr>
          <w:rFonts w:hint="eastAsia" w:ascii="仿宋_GB2312" w:hAnsi="仿宋_GB2312" w:eastAsia="仿宋_GB2312" w:cs="仿宋_GB2312"/>
          <w:snapToGrid w:val="0"/>
          <w:color w:val="000000"/>
          <w:w w:val="100"/>
          <w:kern w:val="0"/>
          <w:sz w:val="32"/>
          <w:szCs w:val="32"/>
          <w:shd w:val="clear" w:color="auto" w:fill="auto"/>
        </w:rPr>
        <w:t>20</w:t>
      </w:r>
      <w:r>
        <w:rPr>
          <w:rFonts w:hint="eastAsia" w:ascii="仿宋_GB2312" w:hAnsi="仿宋_GB2312" w:eastAsia="仿宋_GB2312" w:cs="仿宋_GB2312"/>
          <w:snapToGrid w:val="0"/>
          <w:color w:val="000000"/>
          <w:w w:val="100"/>
          <w:kern w:val="0"/>
          <w:sz w:val="32"/>
          <w:szCs w:val="32"/>
          <w:shd w:val="clear" w:color="auto" w:fill="auto"/>
          <w:lang w:val="en-US" w:eastAsia="zh-CN"/>
        </w:rPr>
        <w:t>21</w:t>
      </w:r>
      <w:r>
        <w:rPr>
          <w:rFonts w:hint="eastAsia" w:ascii="仿宋_GB2312" w:hAnsi="仿宋_GB2312" w:eastAsia="仿宋_GB2312" w:cs="仿宋_GB2312"/>
          <w:snapToGrid w:val="0"/>
          <w:color w:val="000000"/>
          <w:w w:val="100"/>
          <w:kern w:val="0"/>
          <w:sz w:val="32"/>
          <w:szCs w:val="32"/>
          <w:shd w:val="clear" w:color="auto" w:fill="auto"/>
        </w:rPr>
        <w:t>〕</w:t>
      </w:r>
      <w:r>
        <w:rPr>
          <w:rFonts w:hint="eastAsia" w:ascii="仿宋_GB2312" w:hAnsi="仿宋_GB2312" w:eastAsia="仿宋_GB2312" w:cs="仿宋_GB2312"/>
          <w:snapToGrid w:val="0"/>
          <w:color w:val="000000"/>
          <w:w w:val="100"/>
          <w:kern w:val="0"/>
          <w:sz w:val="32"/>
          <w:szCs w:val="32"/>
          <w:shd w:val="clear" w:color="auto" w:fill="auto"/>
          <w:lang w:val="en-US" w:eastAsia="zh-CN"/>
        </w:rPr>
        <w:t>23</w:t>
      </w:r>
      <w:r>
        <w:rPr>
          <w:rFonts w:hint="eastAsia" w:ascii="仿宋_GB2312" w:hAnsi="仿宋_GB2312" w:eastAsia="仿宋_GB2312" w:cs="仿宋_GB2312"/>
          <w:snapToGrid w:val="0"/>
          <w:color w:val="000000"/>
          <w:w w:val="100"/>
          <w:kern w:val="0"/>
          <w:sz w:val="32"/>
          <w:szCs w:val="32"/>
          <w:shd w:val="clear" w:color="auto" w:fill="auto"/>
        </w:rPr>
        <w:t>号</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Chars="0" w:right="0" w:firstLine="640" w:firstLineChars="20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42" w:lineRule="exact"/>
        <w:ind w:leftChars="0" w:right="0" w:firstLine="640" w:firstLineChars="200"/>
        <w:jc w:val="both"/>
        <w:textAlignment w:val="auto"/>
        <w:rPr>
          <w:rFonts w:hint="eastAsia" w:ascii="仿宋_GB2312" w:hAnsi="仿宋_GB2312" w:eastAsia="仿宋_GB2312" w:cs="仿宋_GB2312"/>
          <w:snapToGrid w:val="0"/>
          <w:color w:val="000000"/>
          <w:w w:val="100"/>
          <w:kern w:val="0"/>
          <w:sz w:val="32"/>
          <w:szCs w:val="44"/>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auto"/>
          <w:lang w:val="en-US" w:eastAsia="zh-CN"/>
        </w:rPr>
      </w:pPr>
      <w:r>
        <w:rPr>
          <w:rFonts w:hint="eastAsia" w:ascii="方正小标宋简体" w:hAnsi="方正小标宋简体" w:eastAsia="方正小标宋简体" w:cs="方正小标宋简体"/>
          <w:b w:val="0"/>
          <w:bCs w:val="0"/>
          <w:sz w:val="44"/>
          <w:szCs w:val="44"/>
          <w:shd w:val="clear" w:color="auto" w:fill="auto"/>
          <w:lang w:val="en-US" w:eastAsia="zh-CN"/>
        </w:rPr>
        <w:t>洛阳市偃师区人民政府办公室</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auto"/>
          <w:lang w:val="en-US" w:eastAsia="zh-CN"/>
        </w:rPr>
      </w:pPr>
      <w:r>
        <w:rPr>
          <w:rFonts w:hint="eastAsia" w:ascii="方正小标宋简体" w:hAnsi="方正小标宋简体" w:eastAsia="方正小标宋简体" w:cs="方正小标宋简体"/>
          <w:b w:val="0"/>
          <w:bCs w:val="0"/>
          <w:sz w:val="44"/>
          <w:szCs w:val="44"/>
          <w:shd w:val="clear" w:color="auto" w:fill="auto"/>
          <w:lang w:val="en-US" w:eastAsia="zh-CN"/>
        </w:rPr>
        <w:t>关于修订偃师区城市基础设施配套费</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auto"/>
          <w:lang w:val="en-US" w:eastAsia="zh-CN"/>
        </w:rPr>
      </w:pPr>
      <w:r>
        <w:rPr>
          <w:rFonts w:hint="eastAsia" w:ascii="方正小标宋简体" w:hAnsi="方正小标宋简体" w:eastAsia="方正小标宋简体" w:cs="方正小标宋简体"/>
          <w:b w:val="0"/>
          <w:bCs w:val="0"/>
          <w:sz w:val="44"/>
          <w:szCs w:val="44"/>
          <w:shd w:val="clear" w:color="auto" w:fill="auto"/>
          <w:lang w:val="en-US" w:eastAsia="zh-CN"/>
        </w:rPr>
        <w:t>征收细则部分内容的通知</w:t>
      </w:r>
    </w:p>
    <w:p>
      <w:pPr>
        <w:pStyle w:val="2"/>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textAlignment w:val="auto"/>
        <w:rPr>
          <w:rFonts w:hint="eastAsia"/>
          <w:shd w:val="clear" w:color="auto" w:fil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各镇人民政府、各街道办事处、区人民政府有关部门，各有关单位：</w:t>
      </w:r>
    </w:p>
    <w:p>
      <w:pPr>
        <w:pStyle w:val="18"/>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经区政府研究，决定将《偃师区城市基础设施配套费征收细则》（偃政办〔2021〕13号）中的第二条进行修订，修订后的内容如下：</w:t>
      </w:r>
    </w:p>
    <w:p>
      <w:pPr>
        <w:pStyle w:val="18"/>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auto"/>
          <w:lang w:val="en-US" w:eastAsia="zh-CN"/>
        </w:rPr>
      </w:pPr>
      <w:r>
        <w:rPr>
          <w:rFonts w:hint="eastAsia" w:ascii="黑体" w:hAnsi="黑体" w:eastAsia="黑体" w:cs="黑体"/>
          <w:b w:val="0"/>
          <w:bCs w:val="0"/>
          <w:i w:val="0"/>
          <w:caps w:val="0"/>
          <w:color w:val="000000"/>
          <w:spacing w:val="0"/>
          <w:kern w:val="0"/>
          <w:sz w:val="32"/>
          <w:szCs w:val="32"/>
          <w:shd w:val="clear" w:color="auto" w:fill="auto"/>
          <w:lang w:val="en-US" w:eastAsia="zh-CN"/>
        </w:rPr>
        <w:t>第二条</w:t>
      </w:r>
      <w:r>
        <w:rPr>
          <w:rFonts w:hint="eastAsia" w:ascii="仿宋_GB2312" w:hAnsi="仿宋_GB2312" w:eastAsia="仿宋_GB2312" w:cs="仿宋_GB2312"/>
          <w:sz w:val="32"/>
          <w:szCs w:val="32"/>
          <w:shd w:val="clear" w:color="auto" w:fill="auto"/>
          <w:lang w:val="en-US" w:eastAsia="zh-CN"/>
        </w:rPr>
        <w:t xml:space="preserve">  征收标准。</w:t>
      </w:r>
      <w:r>
        <w:rPr>
          <w:rFonts w:hint="eastAsia" w:ascii="仿宋_GB2312" w:hAnsi="仿宋_GB2312" w:eastAsia="仿宋_GB2312" w:cs="仿宋_GB2312"/>
          <w:i w:val="0"/>
          <w:caps w:val="0"/>
          <w:color w:val="000000"/>
          <w:spacing w:val="0"/>
          <w:kern w:val="0"/>
          <w:sz w:val="32"/>
          <w:szCs w:val="32"/>
          <w:shd w:val="clear" w:color="auto" w:fill="auto"/>
          <w:lang w:val="en-US" w:eastAsia="zh-CN"/>
        </w:rPr>
        <w:t>为贯彻落实</w:t>
      </w:r>
      <w:r>
        <w:rPr>
          <w:rFonts w:hint="eastAsia" w:ascii="仿宋_GB2312" w:hAnsi="仿宋_GB2312" w:eastAsia="仿宋_GB2312" w:cs="仿宋_GB2312"/>
          <w:i w:val="0"/>
          <w:caps w:val="0"/>
          <w:color w:val="000000"/>
          <w:spacing w:val="0"/>
          <w:kern w:val="0"/>
          <w:sz w:val="32"/>
          <w:szCs w:val="32"/>
          <w:u w:val="none" w:color="auto"/>
          <w:shd w:val="clear" w:color="auto" w:fill="auto"/>
          <w:lang w:val="en-US" w:eastAsia="zh-CN"/>
        </w:rPr>
        <w:t>国务院办公厅转发国家发展改革委等部门《关于清理规范城镇供水供电供气供暖行业收费促进行业高质量发展意见的通知》（国办函〔2020〕129号）“清理规范城镇供水供电供气供暖行业收费”的相关规定</w:t>
      </w:r>
      <w:r>
        <w:rPr>
          <w:rFonts w:hint="eastAsia" w:ascii="仿宋_GB2312" w:hAnsi="仿宋_GB2312" w:eastAsia="仿宋_GB2312" w:cs="仿宋_GB2312"/>
          <w:i w:val="0"/>
          <w:caps w:val="0"/>
          <w:color w:val="000000"/>
          <w:spacing w:val="0"/>
          <w:kern w:val="0"/>
          <w:sz w:val="32"/>
          <w:szCs w:val="32"/>
          <w:shd w:val="clear" w:color="auto" w:fill="auto"/>
          <w:lang w:val="en-US" w:eastAsia="zh-CN"/>
        </w:rPr>
        <w:t>，自2021年3月1日起，将原由供气企业、供热企业收取的燃气配套费、热力配套费统一纳入城市基础设施配套费。城市基础设施配套费专项用于城市街道、桥涵、给水、排水、路灯、环卫、园林、消防、公共交通、燃气、热力等基础设施建设。收费标准由《偃师市人民政府办公室关于印发偃师市城市基础设施配套费征收管理办法和偃师市城市基础设施配套费征收细则的通知》（偃政办〔2019〕17号）规定的70元/平方米（不含燃气、热力配套费）调整为120元/平方米（含燃气、热力配套费）。2021年3月1日之后对城镇居民收取的燃气、热力相关开口费、接入费等，由收费单位予以退还。本《征收细则》实施以后，建设单位或个人应当在办理建设工程规划许可证前，到行政服务大厅自然资源和规划局窗口办理城市基础设施配套费的相关手续。</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pacing w:beforeAutospacing="0" w:afterAutospacing="0"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hd w:val="clear" w:color="auto" w:fill="auto"/>
        </w:rPr>
      </w:pPr>
      <w:r>
        <w:rPr>
          <w:rFonts w:hint="eastAsia" w:ascii="仿宋_GB2312" w:hAnsi="仿宋_GB2312" w:eastAsia="仿宋_GB2312" w:cs="仿宋_GB2312"/>
          <w:i w:val="0"/>
          <w:caps w:val="0"/>
          <w:color w:val="000000"/>
          <w:spacing w:val="0"/>
          <w:kern w:val="0"/>
          <w:sz w:val="32"/>
          <w:szCs w:val="32"/>
          <w:shd w:val="clear" w:color="auto" w:fill="auto"/>
          <w:lang w:val="en-US" w:eastAsia="zh-CN"/>
        </w:rPr>
        <w:t>现将修订后的《实施细则》印发给你们，请结合各自实际，抓好贯彻落实。</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textAlignment w:val="auto"/>
        <w:rPr>
          <w:rFonts w:hint="eastAsia" w:ascii="仿宋_GB2312" w:hAnsi="仿宋_GB2312" w:eastAsia="仿宋_GB2312" w:cs="仿宋_GB2312"/>
          <w:color w:val="auto"/>
          <w:sz w:val="32"/>
          <w:shd w:val="clear" w:color="auto" w:fill="auto"/>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0" w:leftChars="0" w:right="0" w:firstLine="640" w:firstLineChars="200"/>
        <w:jc w:val="both"/>
        <w:textAlignment w:val="auto"/>
        <w:outlineLvl w:val="9"/>
        <w:rPr>
          <w:rFonts w:hint="default" w:ascii="仿宋_GB2312" w:hAnsi="仿宋_GB2312" w:eastAsia="仿宋_GB2312" w:cs="仿宋_GB2312"/>
          <w:snapToGrid w:val="0"/>
          <w:color w:val="000000"/>
          <w:w w:val="100"/>
          <w:kern w:val="0"/>
          <w:sz w:val="32"/>
          <w:szCs w:val="32"/>
          <w:shd w:val="clear" w:color="auto" w:fill="auto"/>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0" w:leftChars="0" w:right="0" w:firstLine="640" w:firstLineChars="200"/>
        <w:jc w:val="both"/>
        <w:textAlignment w:val="auto"/>
        <w:outlineLvl w:val="9"/>
        <w:rPr>
          <w:rFonts w:hint="eastAsia" w:ascii="仿宋_GB2312" w:hAnsi="仿宋_GB2312" w:eastAsia="仿宋_GB2312" w:cs="仿宋_GB2312"/>
          <w:snapToGrid w:val="0"/>
          <w:color w:val="000000"/>
          <w:w w:val="100"/>
          <w:kern w:val="0"/>
          <w:sz w:val="32"/>
          <w:szCs w:val="32"/>
          <w:u w:val="single"/>
          <w:shd w:val="clear" w:color="auto" w:fill="auto"/>
          <w:lang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val="0"/>
        <w:adjustRightInd w:val="0"/>
        <w:snapToGrid w:val="0"/>
        <w:spacing w:before="0" w:after="0" w:line="592" w:lineRule="exact"/>
        <w:ind w:left="0" w:leftChars="0" w:right="0" w:firstLine="640" w:firstLineChars="200"/>
        <w:jc w:val="right"/>
        <w:textAlignment w:val="auto"/>
        <w:outlineLvl w:val="9"/>
        <w:rPr>
          <w:rFonts w:hint="eastAsia" w:ascii="仿宋_GB2312" w:hAnsi="仿宋_GB2312" w:eastAsia="仿宋_GB2312" w:cs="仿宋_GB2312"/>
          <w:snapToGrid w:val="0"/>
          <w:color w:val="000000"/>
          <w:w w:val="100"/>
          <w:kern w:val="0"/>
          <w:sz w:val="32"/>
          <w:szCs w:val="32"/>
          <w:u w:val="none"/>
          <w:shd w:val="clear" w:color="auto" w:fill="auto"/>
          <w:lang w:val="en-US" w:eastAsia="zh-CN"/>
        </w:rPr>
      </w:pPr>
      <w:r>
        <w:rPr>
          <w:rFonts w:hint="eastAsia" w:ascii="仿宋_GB2312" w:hAnsi="仿宋_GB2312" w:eastAsia="仿宋_GB2312" w:cs="仿宋_GB2312"/>
          <w:snapToGrid w:val="0"/>
          <w:color w:val="000000"/>
          <w:w w:val="100"/>
          <w:kern w:val="0"/>
          <w:sz w:val="32"/>
          <w:szCs w:val="32"/>
          <w:u w:val="none"/>
          <w:shd w:val="clear" w:color="auto" w:fill="auto"/>
          <w:lang w:val="en-US" w:eastAsia="zh-CN"/>
        </w:rPr>
        <w:t xml:space="preserve">2021年12月31日        </w:t>
      </w:r>
    </w:p>
    <w:p>
      <w:pPr>
        <w:pStyle w:val="7"/>
        <w:wordWrap/>
        <w:rPr>
          <w:rFonts w:hint="default"/>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pacing w:line="59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spacing w:val="0"/>
          <w:kern w:val="0"/>
          <w:sz w:val="44"/>
          <w:szCs w:val="44"/>
          <w:shd w:val="clear" w:color="auto" w:fill="auto"/>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pacing w:line="59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spacing w:val="0"/>
          <w:kern w:val="0"/>
          <w:sz w:val="44"/>
          <w:szCs w:val="44"/>
          <w:shd w:val="clear" w:color="auto" w:fill="auto"/>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0" w:firstLineChars="0"/>
        <w:jc w:val="center"/>
        <w:textAlignment w:val="auto"/>
        <w:outlineLvl w:val="9"/>
        <w:rPr>
          <w:rFonts w:hint="eastAsia" w:ascii="方正小标宋简体" w:hAnsi="方正小标宋简体" w:eastAsia="方正小标宋简体" w:cs="方正小标宋简体"/>
          <w:i w:val="0"/>
          <w:caps w:val="0"/>
          <w:color w:val="000000"/>
          <w:spacing w:val="0"/>
          <w:sz w:val="44"/>
          <w:szCs w:val="44"/>
          <w:shd w:val="clear" w:color="auto" w:fill="auto"/>
        </w:rPr>
      </w:pPr>
      <w:r>
        <w:rPr>
          <w:rFonts w:hint="eastAsia" w:ascii="方正小标宋简体" w:hAnsi="方正小标宋简体" w:eastAsia="方正小标宋简体" w:cs="方正小标宋简体"/>
          <w:i w:val="0"/>
          <w:caps w:val="0"/>
          <w:color w:val="000000"/>
          <w:spacing w:val="0"/>
          <w:kern w:val="0"/>
          <w:sz w:val="44"/>
          <w:szCs w:val="44"/>
          <w:shd w:val="clear" w:color="auto" w:fill="auto"/>
          <w:lang w:val="en-US" w:eastAsia="zh-CN"/>
        </w:rPr>
        <w:t>偃师区城市基础设施配套费征收细则</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0"/>
        <w:jc w:val="left"/>
        <w:textAlignment w:val="auto"/>
        <w:outlineLvl w:val="9"/>
        <w:rPr>
          <w:rFonts w:hint="default" w:ascii="Times New Roman" w:hAnsi="Times New Roman" w:eastAsia="仿宋_GB2312" w:cs="Times New Roman"/>
          <w:b/>
          <w:bCs/>
          <w:i w:val="0"/>
          <w:caps w:val="0"/>
          <w:color w:val="000000"/>
          <w:spacing w:val="0"/>
          <w:kern w:val="0"/>
          <w:sz w:val="32"/>
          <w:szCs w:val="32"/>
          <w:shd w:val="clear" w:color="auto" w:fill="auto"/>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第一条 </w:t>
      </w:r>
      <w:r>
        <w:rPr>
          <w:rFonts w:hint="eastAsia" w:eastAsia="仿宋_GB2312" w:cs="Times New Roman"/>
          <w:b/>
          <w:bCs/>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为加快城市基础设施建设，规范城市基础设施配套费（以下简称</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）的征收，根据《洛阳市城市基础设施配套费征收管理办法》</w:t>
      </w:r>
      <w:r>
        <w:rPr>
          <w:rFonts w:hint="eastAsia" w:eastAsia="仿宋_GB2312" w:cs="Times New Roman"/>
          <w:i w:val="0"/>
          <w:caps w:val="0"/>
          <w:color w:val="auto"/>
          <w:spacing w:val="0"/>
          <w:kern w:val="0"/>
          <w:sz w:val="32"/>
          <w:szCs w:val="32"/>
          <w:shd w:val="clear" w:color="auto" w:fill="auto"/>
          <w:lang w:val="en-US" w:eastAsia="zh-CN"/>
        </w:rPr>
        <w:t>，</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参照《洛阳市城市基础设施配套费征收细则》，结合我区实际，制定本细则。</w:t>
      </w:r>
    </w:p>
    <w:p>
      <w:pPr>
        <w:pStyle w:val="18"/>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beforeAutospacing="0" w:after="0" w:afterAutospacing="0" w:line="590" w:lineRule="exact"/>
        <w:ind w:left="0" w:leftChars="0" w:right="0" w:firstLine="640" w:firstLineChars="200"/>
        <w:jc w:val="both"/>
        <w:textAlignment w:val="auto"/>
        <w:rPr>
          <w:rFonts w:hint="default" w:ascii="仿宋_GB2312" w:hAnsi="仿宋_GB2312" w:eastAsia="仿宋_GB2312" w:cs="仿宋_GB2312"/>
          <w:i w:val="0"/>
          <w:caps w:val="0"/>
          <w:color w:val="000000"/>
          <w:spacing w:val="0"/>
          <w:kern w:val="0"/>
          <w:sz w:val="32"/>
          <w:szCs w:val="32"/>
          <w:shd w:val="clear" w:color="auto" w:fill="auto"/>
          <w:lang w:val="en-US" w:eastAsia="zh-CN"/>
        </w:rPr>
      </w:pPr>
      <w:r>
        <w:rPr>
          <w:rFonts w:hint="default" w:ascii="黑体" w:hAnsi="黑体" w:eastAsia="黑体" w:cs="黑体"/>
          <w:b w:val="0"/>
          <w:bCs w:val="0"/>
          <w:i w:val="0"/>
          <w:caps w:val="0"/>
          <w:color w:val="000000"/>
          <w:spacing w:val="0"/>
          <w:kern w:val="0"/>
          <w:sz w:val="32"/>
          <w:szCs w:val="32"/>
          <w:shd w:val="clear" w:color="auto" w:fill="auto"/>
          <w:lang w:val="en-US" w:eastAsia="zh-CN"/>
        </w:rPr>
        <w:t>第二条</w:t>
      </w:r>
      <w:r>
        <w:rPr>
          <w:rFonts w:hint="eastAsia" w:ascii="黑体" w:hAnsi="黑体" w:eastAsia="黑体" w:cs="黑体"/>
          <w:b w:val="0"/>
          <w:bCs w:val="0"/>
          <w:i w:val="0"/>
          <w:caps w:val="0"/>
          <w:color w:val="000000"/>
          <w:spacing w:val="0"/>
          <w:kern w:val="0"/>
          <w:sz w:val="32"/>
          <w:szCs w:val="32"/>
          <w:shd w:val="clear" w:color="auto" w:fill="auto"/>
          <w:lang w:val="en-US" w:eastAsia="zh-CN"/>
        </w:rPr>
        <w:t xml:space="preserve"> </w:t>
      </w:r>
      <w:r>
        <w:rPr>
          <w:rFonts w:hint="eastAsia" w:eastAsia="仿宋_GB2312" w:cs="Times New Roman"/>
          <w:b/>
          <w:bCs/>
          <w:i w:val="0"/>
          <w:caps w:val="0"/>
          <w:color w:val="000000"/>
          <w:spacing w:val="0"/>
          <w:kern w:val="0"/>
          <w:sz w:val="32"/>
          <w:szCs w:val="32"/>
          <w:shd w:val="clear" w:color="auto" w:fill="auto"/>
          <w:lang w:val="en-US" w:eastAsia="zh-CN"/>
        </w:rPr>
        <w:t xml:space="preserve"> </w:t>
      </w:r>
      <w:r>
        <w:rPr>
          <w:rFonts w:hint="eastAsia" w:ascii="仿宋" w:hAnsi="仿宋" w:eastAsia="仿宋" w:cs="仿宋"/>
          <w:sz w:val="32"/>
          <w:szCs w:val="32"/>
          <w:shd w:val="clear" w:color="auto" w:fill="auto"/>
          <w:lang w:val="en-US" w:eastAsia="zh-CN"/>
        </w:rPr>
        <w:t>征收标准。</w:t>
      </w:r>
      <w:r>
        <w:rPr>
          <w:rFonts w:hint="eastAsia" w:ascii="仿宋_GB2312" w:hAnsi="仿宋_GB2312" w:eastAsia="仿宋_GB2312" w:cs="仿宋_GB2312"/>
          <w:i w:val="0"/>
          <w:caps w:val="0"/>
          <w:color w:val="000000"/>
          <w:spacing w:val="0"/>
          <w:kern w:val="0"/>
          <w:sz w:val="32"/>
          <w:szCs w:val="32"/>
          <w:shd w:val="clear" w:color="auto" w:fill="auto"/>
          <w:lang w:val="en-US" w:eastAsia="zh-CN"/>
        </w:rPr>
        <w:t>为贯彻落实</w:t>
      </w:r>
      <w:r>
        <w:rPr>
          <w:rFonts w:hint="eastAsia" w:ascii="仿宋_GB2312" w:hAnsi="仿宋_GB2312" w:eastAsia="仿宋_GB2312" w:cs="仿宋_GB2312"/>
          <w:i w:val="0"/>
          <w:caps w:val="0"/>
          <w:color w:val="000000"/>
          <w:spacing w:val="0"/>
          <w:kern w:val="0"/>
          <w:sz w:val="32"/>
          <w:szCs w:val="32"/>
          <w:u w:val="none" w:color="auto"/>
          <w:shd w:val="clear" w:color="auto" w:fill="auto"/>
          <w:lang w:val="en-US" w:eastAsia="zh-CN"/>
        </w:rPr>
        <w:t>国务院办公厅转发国家发展改革委等部门《关于清理规范城镇供水供电供气供暖行业收费促进行业高质量发展意见的通知》（国办函〔2020〕129号）“清理规范城镇供水供电供气供暖行业收费”的相关规定，</w:t>
      </w:r>
      <w:r>
        <w:rPr>
          <w:rFonts w:hint="default" w:ascii="仿宋_GB2312" w:hAnsi="仿宋_GB2312" w:eastAsia="仿宋_GB2312" w:cs="仿宋_GB2312"/>
          <w:i w:val="0"/>
          <w:caps w:val="0"/>
          <w:color w:val="000000"/>
          <w:spacing w:val="0"/>
          <w:kern w:val="0"/>
          <w:sz w:val="32"/>
          <w:szCs w:val="32"/>
          <w:u w:val="none" w:color="auto"/>
          <w:shd w:val="clear" w:color="auto" w:fill="auto"/>
          <w:lang w:val="en-US" w:eastAsia="zh-CN"/>
        </w:rPr>
        <w:t>自</w:t>
      </w:r>
      <w:r>
        <w:rPr>
          <w:rFonts w:hint="eastAsia" w:ascii="仿宋_GB2312" w:hAnsi="仿宋_GB2312" w:eastAsia="仿宋_GB2312" w:cs="仿宋_GB2312"/>
          <w:i w:val="0"/>
          <w:caps w:val="0"/>
          <w:color w:val="000000"/>
          <w:spacing w:val="0"/>
          <w:kern w:val="0"/>
          <w:sz w:val="32"/>
          <w:szCs w:val="32"/>
          <w:u w:val="none" w:color="auto"/>
          <w:shd w:val="clear" w:color="auto" w:fill="auto"/>
          <w:lang w:val="en-US" w:eastAsia="zh-CN"/>
        </w:rPr>
        <w:t>2021年</w:t>
      </w:r>
      <w:r>
        <w:rPr>
          <w:rFonts w:hint="default" w:ascii="仿宋_GB2312" w:hAnsi="仿宋_GB2312" w:eastAsia="仿宋_GB2312" w:cs="仿宋_GB2312"/>
          <w:i w:val="0"/>
          <w:caps w:val="0"/>
          <w:color w:val="000000"/>
          <w:spacing w:val="0"/>
          <w:kern w:val="0"/>
          <w:sz w:val="32"/>
          <w:szCs w:val="32"/>
          <w:u w:val="none" w:color="auto"/>
          <w:shd w:val="clear" w:color="auto" w:fill="auto"/>
          <w:lang w:val="en-US" w:eastAsia="zh-CN"/>
        </w:rPr>
        <w:t>3月1日</w:t>
      </w:r>
      <w:r>
        <w:rPr>
          <w:rFonts w:hint="eastAsia" w:ascii="仿宋_GB2312" w:hAnsi="仿宋_GB2312" w:eastAsia="仿宋_GB2312" w:cs="仿宋_GB2312"/>
          <w:i w:val="0"/>
          <w:caps w:val="0"/>
          <w:color w:val="000000"/>
          <w:spacing w:val="0"/>
          <w:kern w:val="0"/>
          <w:sz w:val="32"/>
          <w:szCs w:val="32"/>
          <w:u w:val="none" w:color="auto"/>
          <w:shd w:val="clear" w:color="auto" w:fill="auto"/>
          <w:lang w:val="en-US" w:eastAsia="zh-CN"/>
        </w:rPr>
        <w:t>起，将原由供气企业、供热企业收取的燃气配套费、热力配套费统一纳入城市基础设施配套费。城市基础设施配套费专项用于城市街道、桥涵、给水、排水、路灯、环卫、园林、消防、公共交通、燃气、热力等基础设施建设。收费标准由《偃师市人民政府办公室关于印发偃师市城市基础设施配套费征收管理办法和偃师市城市基础设施配套费征收细则的通知》（偃政办〔2019〕17号）规</w:t>
      </w:r>
      <w:r>
        <w:rPr>
          <w:rFonts w:hint="default" w:ascii="仿宋_GB2312" w:hAnsi="仿宋_GB2312" w:eastAsia="仿宋_GB2312" w:cs="仿宋_GB2312"/>
          <w:i w:val="0"/>
          <w:caps w:val="0"/>
          <w:color w:val="000000"/>
          <w:spacing w:val="0"/>
          <w:kern w:val="0"/>
          <w:sz w:val="32"/>
          <w:szCs w:val="32"/>
          <w:u w:val="none" w:color="auto"/>
          <w:shd w:val="clear" w:color="auto" w:fill="auto"/>
          <w:lang w:val="en-US" w:eastAsia="zh-CN"/>
        </w:rPr>
        <w:t>定的70元/平方米（不含燃气、热力配套费）调整为120元/平方米（含燃气、热力配套费）。2021年3月1日之后对城镇居民收取的燃气、热力相关开口费、接入费等，由收费单位予以退还。</w:t>
      </w:r>
      <w:r>
        <w:rPr>
          <w:rFonts w:hint="eastAsia" w:ascii="仿宋_GB2312" w:hAnsi="仿宋_GB2312" w:eastAsia="仿宋_GB2312" w:cs="仿宋_GB2312"/>
          <w:i w:val="0"/>
          <w:caps w:val="0"/>
          <w:color w:val="000000"/>
          <w:spacing w:val="0"/>
          <w:kern w:val="0"/>
          <w:sz w:val="32"/>
          <w:szCs w:val="32"/>
          <w:u w:val="none" w:color="auto"/>
          <w:shd w:val="clear" w:color="auto" w:fill="auto"/>
          <w:lang w:val="en-US" w:eastAsia="zh-CN"/>
        </w:rPr>
        <w:t>本《征收细则》实施以后，建设单位或个人应当在办理建设工程规划许可证前，到行政服务大厅自然资源和规划局窗口办理城市基</w:t>
      </w:r>
      <w:r>
        <w:rPr>
          <w:rFonts w:hint="eastAsia" w:ascii="仿宋_GB2312" w:hAnsi="仿宋_GB2312" w:eastAsia="仿宋_GB2312" w:cs="仿宋_GB2312"/>
          <w:i w:val="0"/>
          <w:caps w:val="0"/>
          <w:color w:val="000000"/>
          <w:spacing w:val="0"/>
          <w:kern w:val="0"/>
          <w:sz w:val="32"/>
          <w:szCs w:val="32"/>
          <w:shd w:val="clear" w:color="auto" w:fill="auto"/>
          <w:lang w:val="en-US" w:eastAsia="zh-CN"/>
        </w:rPr>
        <w:t>础设施配套费的相关手续。</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eastAsia" w:ascii="黑体" w:hAnsi="黑体" w:eastAsia="黑体" w:cs="黑体"/>
          <w:i w:val="0"/>
          <w:caps w:val="0"/>
          <w:color w:val="auto"/>
          <w:spacing w:val="0"/>
          <w:kern w:val="0"/>
          <w:sz w:val="32"/>
          <w:szCs w:val="32"/>
          <w:shd w:val="clear" w:color="auto" w:fill="auto"/>
          <w:lang w:val="en-US" w:eastAsia="zh-CN"/>
        </w:rPr>
        <w:t xml:space="preserve">第三条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享受优惠范围及办理程序</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shd w:val="clear" w:color="auto" w:fill="auto"/>
          <w:lang w:val="en-US" w:eastAsia="zh-CN"/>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国务院、省政府</w:t>
      </w:r>
      <w:r>
        <w:rPr>
          <w:rFonts w:hint="eastAsia" w:eastAsia="仿宋_GB2312" w:cs="Times New Roman"/>
          <w:i w:val="0"/>
          <w:caps w:val="0"/>
          <w:color w:val="auto"/>
          <w:spacing w:val="0"/>
          <w:kern w:val="0"/>
          <w:sz w:val="32"/>
          <w:szCs w:val="32"/>
          <w:shd w:val="clear" w:color="auto" w:fill="auto"/>
          <w:lang w:val="en-US" w:eastAsia="zh-CN"/>
        </w:rPr>
        <w:t>、</w:t>
      </w:r>
      <w:r>
        <w:rPr>
          <w:rFonts w:ascii="Times New Roman" w:hAnsi="Times New Roman" w:eastAsia="仿宋_GB2312"/>
          <w:color w:val="auto"/>
          <w:sz w:val="32"/>
          <w:szCs w:val="32"/>
          <w:shd w:val="clear" w:color="auto" w:fill="auto"/>
        </w:rPr>
        <w:t>洛阳市政府</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文件有明确减免</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规定的，由申请单位出具证明文件，代征部门审核后直接减免。下列项目由申请单位出具相关证明文件，经代征部门审核后直接减免或优惠：</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楷体_GB2312" w:cs="Times New Roman"/>
          <w:i w:val="0"/>
          <w:caps w:val="0"/>
          <w:color w:val="auto"/>
          <w:spacing w:val="0"/>
          <w:sz w:val="32"/>
          <w:szCs w:val="32"/>
          <w:shd w:val="clear" w:color="auto" w:fill="auto"/>
        </w:rPr>
      </w:pPr>
      <w:r>
        <w:rPr>
          <w:rFonts w:hint="eastAsia" w:eastAsia="楷体_GB2312" w:cs="Times New Roman"/>
          <w:i w:val="0"/>
          <w:caps w:val="0"/>
          <w:color w:val="auto"/>
          <w:spacing w:val="0"/>
          <w:kern w:val="0"/>
          <w:sz w:val="32"/>
          <w:szCs w:val="32"/>
          <w:shd w:val="clear" w:color="auto" w:fill="auto"/>
          <w:lang w:val="en-US" w:eastAsia="zh-CN"/>
        </w:rPr>
        <w:t>（一）</w:t>
      </w:r>
      <w:r>
        <w:rPr>
          <w:rFonts w:hint="default" w:ascii="Times New Roman" w:hAnsi="Times New Roman" w:eastAsia="楷体_GB2312" w:cs="Times New Roman"/>
          <w:i w:val="0"/>
          <w:caps w:val="0"/>
          <w:color w:val="auto"/>
          <w:spacing w:val="0"/>
          <w:kern w:val="0"/>
          <w:sz w:val="32"/>
          <w:szCs w:val="32"/>
          <w:shd w:val="clear" w:color="auto" w:fill="auto"/>
          <w:lang w:val="en-US" w:eastAsia="zh-CN"/>
        </w:rPr>
        <w:t>直接减免的范围</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kern w:val="0"/>
          <w:sz w:val="32"/>
          <w:szCs w:val="32"/>
          <w:shd w:val="clear" w:color="auto" w:fill="auto"/>
          <w:lang w:val="en-US" w:eastAsia="zh-CN"/>
        </w:rPr>
        <w:t>1.直接用于军事目的的指挥中心（所）、营房、训练场、试验场、军用仓库等国防设施，以及监狱、强制戒毒所、收容所、拘留所、看守所、派出所、消防站、养老院、公厕、垃圾中转站、污水（污泥）处理、供水、供热、供气等城市公共基础配套设施免收城市基础设施配套费。配建的宿舍、家属楼、商业用房等项目，全额征收城市基础设施配套费。</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kern w:val="0"/>
          <w:sz w:val="32"/>
          <w:szCs w:val="32"/>
          <w:shd w:val="clear" w:color="auto" w:fill="auto"/>
          <w:lang w:val="en-US" w:eastAsia="zh-CN"/>
        </w:rPr>
        <w:t>2.中小学及幼儿园的教学用房、实验楼、图书馆（楼）、体育场馆、餐厅、学生宿舍免收城市基础设施配套费。配建的家属楼、商业用房等项目全额征收城市基础设施配套费。</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auto"/>
          <w:lang w:val="en-US" w:eastAsia="zh-CN"/>
        </w:rPr>
      </w:pPr>
      <w:r>
        <w:rPr>
          <w:rFonts w:hint="eastAsia" w:ascii="仿宋_GB2312" w:hAnsi="仿宋_GB2312" w:eastAsia="仿宋_GB2312" w:cs="仿宋_GB2312"/>
          <w:i w:val="0"/>
          <w:caps w:val="0"/>
          <w:color w:val="auto"/>
          <w:spacing w:val="0"/>
          <w:kern w:val="0"/>
          <w:sz w:val="32"/>
          <w:szCs w:val="32"/>
          <w:shd w:val="clear" w:color="auto" w:fill="auto"/>
          <w:lang w:val="en-US" w:eastAsia="zh-CN"/>
        </w:rPr>
        <w:t>3.工业项目（含仓储物流），暂免缴城市基础设施配套费（不含燃气、热力）。如需使用燃气或热力的工业项目，燃气或热力费用按照相关征收标准向供气、供热单位缴纳。燃气按使用设备日用气量500元/立方米征收至规划红线；蒸汽和高温热水按小时最大用量计算，蒸汽按35万元/吨征收，供热单位建设至城市供热规划主管网；高温热水按3.5万元/吨征收，供热单位建设至城市供热规划主管网。</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楷体_GB2312" w:cs="Times New Roman"/>
          <w:i w:val="0"/>
          <w:caps w:val="0"/>
          <w:color w:val="auto"/>
          <w:spacing w:val="0"/>
          <w:sz w:val="32"/>
          <w:szCs w:val="32"/>
          <w:shd w:val="clear" w:color="auto" w:fill="auto"/>
        </w:rPr>
      </w:pPr>
      <w:r>
        <w:rPr>
          <w:rFonts w:hint="default" w:ascii="Times New Roman" w:hAnsi="Times New Roman" w:eastAsia="楷体_GB2312" w:cs="Times New Roman"/>
          <w:i w:val="0"/>
          <w:caps w:val="0"/>
          <w:color w:val="auto"/>
          <w:spacing w:val="0"/>
          <w:kern w:val="0"/>
          <w:sz w:val="32"/>
          <w:szCs w:val="32"/>
          <w:shd w:val="clear" w:color="auto" w:fill="auto"/>
          <w:lang w:val="en-US" w:eastAsia="zh-CN"/>
        </w:rPr>
        <w:t>（</w:t>
      </w:r>
      <w:r>
        <w:rPr>
          <w:rFonts w:hint="eastAsia" w:eastAsia="楷体_GB2312" w:cs="Times New Roman"/>
          <w:i w:val="0"/>
          <w:caps w:val="0"/>
          <w:color w:val="auto"/>
          <w:spacing w:val="0"/>
          <w:kern w:val="0"/>
          <w:sz w:val="32"/>
          <w:szCs w:val="32"/>
          <w:shd w:val="clear" w:color="auto" w:fill="auto"/>
          <w:lang w:val="en-US" w:eastAsia="zh-CN"/>
        </w:rPr>
        <w:t>二</w:t>
      </w:r>
      <w:r>
        <w:rPr>
          <w:rFonts w:hint="default" w:ascii="Times New Roman" w:hAnsi="Times New Roman" w:eastAsia="楷体_GB2312" w:cs="Times New Roman"/>
          <w:i w:val="0"/>
          <w:caps w:val="0"/>
          <w:color w:val="auto"/>
          <w:spacing w:val="0"/>
          <w:kern w:val="0"/>
          <w:sz w:val="32"/>
          <w:szCs w:val="32"/>
          <w:shd w:val="clear" w:color="auto" w:fill="auto"/>
          <w:lang w:val="en-US" w:eastAsia="zh-CN"/>
        </w:rPr>
        <w:t>）其他减免事项</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无文件规定，特殊情况确需减免的，由主张减免的政府部门（机构）提请区政府常务会议研究决定。申请单位凭区政府常务会议纪要向代征部门办理相关手续。</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四</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对已享受优惠政策、建成后擅自改变原批准建设用途的建设项目，应当按现行标准补缴</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，并按相关法律法规进行处罚。</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五</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超审批计划及违规建设项目征收程序</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（一）缴纳</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后，实际建筑面积应以规划部门核发</w:t>
      </w:r>
      <w:r>
        <w:rPr>
          <w:rFonts w:hint="eastAsia" w:eastAsia="仿宋_GB2312" w:cs="Times New Roman"/>
          <w:i w:val="0"/>
          <w:caps w:val="0"/>
          <w:color w:val="auto"/>
          <w:spacing w:val="0"/>
          <w:kern w:val="0"/>
          <w:sz w:val="32"/>
          <w:szCs w:val="32"/>
          <w:shd w:val="clear" w:color="auto" w:fill="auto"/>
          <w:lang w:val="en-US" w:eastAsia="zh-CN"/>
        </w:rPr>
        <w:t>的</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《建设工程规划许可证》面积为准，超出规划建筑面积的，超建部分必须按现行标准补缴</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。实际建筑面积少于规划建筑面积的，代征部门应当出具认定建筑面积</w:t>
      </w:r>
      <w:r>
        <w:rPr>
          <w:rFonts w:hint="eastAsia" w:eastAsia="仿宋_GB2312" w:cs="Times New Roman"/>
          <w:i w:val="0"/>
          <w:caps w:val="0"/>
          <w:color w:val="auto"/>
          <w:spacing w:val="0"/>
          <w:kern w:val="0"/>
          <w:sz w:val="32"/>
          <w:szCs w:val="32"/>
          <w:shd w:val="clear" w:color="auto" w:fill="auto"/>
          <w:lang w:val="en-US" w:eastAsia="zh-CN"/>
        </w:rPr>
        <w:t>、</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多缴金额等证明性文件，由建设单位或个人凭该文件向区财政局提出书面申请，区财政局审核，报区政府批准后予以退还。</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（二）违法建设项目经行政执法部门处罚后予以保留的，应完善相关手续，并按照现行标准补缴</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六</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征缴工作程序</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（一）</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属于政府性基金，实行收支两条线管理，任何单位和个人无权擅自减免。</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（二）区行政服务中心</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代征服务窗口应按照拟批准的建筑面积及收费标准计算</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，填写一式三联《偃师区</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缴费告知单》，第一联由区自然资源和规划局存档备查，第二联交建设单位或个人，第三联办理入网手续。</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（三）建设单位或个人凭《偃师区</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缴费告知单》在区行政服务中心自然资源和规划局</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代征服务窗口开具《偃师区纳入预算非税收入专用缴款书》。告知单留开票处存档备查。</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Times New Roman" w:hAnsi="Times New Roman" w:eastAsia="仿宋_GB2312" w:cs="Times New Roman"/>
          <w:i w:val="0"/>
          <w:caps w:val="0"/>
          <w:color w:val="auto"/>
          <w:spacing w:val="0"/>
          <w:kern w:val="0"/>
          <w:sz w:val="32"/>
          <w:szCs w:val="32"/>
          <w:shd w:val="clear" w:color="auto" w:fill="auto"/>
          <w:lang w:val="en-US" w:eastAsia="zh-CN"/>
        </w:rPr>
        <w:t>（四）建设单位或个人到银行转账后，凭《偃师区纳入预算非税收入专用缴款书》第五联（银行转款加盖章后），由区行政服务中心自然资源和规划局</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代征服务窗口开具《河南省行政事业性收费基金专用票据》并办理《建设工程规划许可证》。</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七</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建设项目缴纳的</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，应计入建设工程造价。商品房项目缴纳的</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，应计入房屋销售价格，开发商及其他单位和个人不得在房价外向购房者另行加收任何费用。</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八</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区财政</w:t>
      </w:r>
      <w:r>
        <w:rPr>
          <w:rFonts w:hint="eastAsia" w:eastAsia="仿宋_GB2312" w:cs="Times New Roman"/>
          <w:i w:val="0"/>
          <w:caps w:val="0"/>
          <w:color w:val="auto"/>
          <w:spacing w:val="0"/>
          <w:kern w:val="0"/>
          <w:sz w:val="32"/>
          <w:szCs w:val="32"/>
          <w:shd w:val="clear" w:color="auto" w:fill="auto"/>
          <w:lang w:val="en-US" w:eastAsia="zh-CN"/>
        </w:rPr>
        <w:t>局</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、发改</w:t>
      </w:r>
      <w:r>
        <w:rPr>
          <w:rFonts w:hint="eastAsia" w:eastAsia="仿宋_GB2312" w:cs="Times New Roman"/>
          <w:i w:val="0"/>
          <w:caps w:val="0"/>
          <w:color w:val="auto"/>
          <w:spacing w:val="0"/>
          <w:kern w:val="0"/>
          <w:sz w:val="32"/>
          <w:szCs w:val="32"/>
          <w:shd w:val="clear" w:color="auto" w:fill="auto"/>
          <w:lang w:val="en-US" w:eastAsia="zh-CN"/>
        </w:rPr>
        <w:t>委</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w:t>
      </w:r>
      <w:r>
        <w:rPr>
          <w:rFonts w:hint="eastAsia" w:eastAsia="仿宋_GB2312" w:cs="Times New Roman"/>
          <w:i w:val="0"/>
          <w:caps w:val="0"/>
          <w:color w:val="auto"/>
          <w:spacing w:val="0"/>
          <w:kern w:val="0"/>
          <w:sz w:val="32"/>
          <w:szCs w:val="32"/>
          <w:shd w:val="clear" w:color="auto" w:fill="auto"/>
          <w:lang w:val="en-US" w:eastAsia="zh-CN"/>
        </w:rPr>
        <w:t>自然资源和</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规划</w:t>
      </w:r>
      <w:r>
        <w:rPr>
          <w:rFonts w:hint="eastAsia" w:eastAsia="仿宋_GB2312" w:cs="Times New Roman"/>
          <w:i w:val="0"/>
          <w:caps w:val="0"/>
          <w:color w:val="auto"/>
          <w:spacing w:val="0"/>
          <w:kern w:val="0"/>
          <w:sz w:val="32"/>
          <w:szCs w:val="32"/>
          <w:shd w:val="clear" w:color="auto" w:fill="auto"/>
          <w:lang w:val="en-US" w:eastAsia="zh-CN"/>
        </w:rPr>
        <w:t>局</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等部门联合建立沟通协调机制</w:t>
      </w:r>
      <w:r>
        <w:rPr>
          <w:rFonts w:hint="eastAsia" w:eastAsia="仿宋_GB2312" w:cs="Times New Roman"/>
          <w:i w:val="0"/>
          <w:caps w:val="0"/>
          <w:color w:val="auto"/>
          <w:spacing w:val="0"/>
          <w:kern w:val="0"/>
          <w:sz w:val="32"/>
          <w:szCs w:val="32"/>
          <w:shd w:val="clear" w:color="auto" w:fill="auto"/>
          <w:lang w:val="en-US" w:eastAsia="zh-CN"/>
        </w:rPr>
        <w:t>。</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由区财政</w:t>
      </w:r>
      <w:r>
        <w:rPr>
          <w:rFonts w:hint="eastAsia" w:eastAsia="仿宋_GB2312" w:cs="Times New Roman"/>
          <w:i w:val="0"/>
          <w:caps w:val="0"/>
          <w:color w:val="auto"/>
          <w:spacing w:val="0"/>
          <w:kern w:val="0"/>
          <w:sz w:val="32"/>
          <w:szCs w:val="32"/>
          <w:shd w:val="clear" w:color="auto" w:fill="auto"/>
          <w:lang w:val="en-US" w:eastAsia="zh-CN"/>
        </w:rPr>
        <w:t>局</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牵头，及时对</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征收运行工作中出现的新情况、新问题进行集体研究，形成意见后，报区政府</w:t>
      </w:r>
      <w:r>
        <w:rPr>
          <w:rFonts w:hint="eastAsia" w:eastAsia="仿宋_GB2312" w:cs="Times New Roman"/>
          <w:i w:val="0"/>
          <w:caps w:val="0"/>
          <w:color w:val="auto"/>
          <w:spacing w:val="0"/>
          <w:kern w:val="0"/>
          <w:sz w:val="32"/>
          <w:szCs w:val="32"/>
          <w:shd w:val="clear" w:color="auto" w:fill="auto"/>
          <w:lang w:val="en-US" w:eastAsia="zh-CN"/>
        </w:rPr>
        <w:t>研究</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i w:val="0"/>
          <w:caps w:val="0"/>
          <w:color w:val="auto"/>
          <w:spacing w:val="0"/>
          <w:sz w:val="32"/>
          <w:szCs w:val="32"/>
          <w:shd w:val="clear" w:color="auto" w:fill="auto"/>
        </w:rPr>
      </w:pPr>
      <w:r>
        <w:rPr>
          <w:rFonts w:hint="default" w:ascii="黑体" w:hAnsi="黑体" w:eastAsia="黑体" w:cs="黑体"/>
          <w:b w:val="0"/>
          <w:bCs w:val="0"/>
          <w:i w:val="0"/>
          <w:caps w:val="0"/>
          <w:color w:val="auto"/>
          <w:spacing w:val="0"/>
          <w:kern w:val="0"/>
          <w:sz w:val="32"/>
          <w:szCs w:val="32"/>
          <w:shd w:val="clear" w:color="auto" w:fill="auto"/>
          <w:lang w:val="en-US" w:eastAsia="zh-CN"/>
        </w:rPr>
        <w:t>第九条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本细则施行后，洛阳市偃师区</w:t>
      </w:r>
      <w:r>
        <w:rPr>
          <w:rFonts w:hint="eastAsia" w:eastAsia="仿宋_GB2312" w:cs="Times New Roman"/>
          <w:i w:val="0"/>
          <w:caps w:val="0"/>
          <w:color w:val="auto"/>
          <w:spacing w:val="0"/>
          <w:kern w:val="0"/>
          <w:sz w:val="32"/>
          <w:szCs w:val="32"/>
          <w:shd w:val="clear" w:color="auto" w:fill="auto"/>
          <w:lang w:val="en-US" w:eastAsia="zh-CN"/>
        </w:rPr>
        <w:t>之前</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有关征收、减免</w:t>
      </w:r>
      <w:r>
        <w:rPr>
          <w:rFonts w:hint="eastAsia" w:eastAsia="仿宋_GB2312" w:cs="Times New Roman"/>
          <w:i w:val="0"/>
          <w:caps w:val="0"/>
          <w:color w:val="auto"/>
          <w:spacing w:val="0"/>
          <w:kern w:val="0"/>
          <w:sz w:val="32"/>
          <w:szCs w:val="32"/>
          <w:shd w:val="clear" w:color="auto" w:fill="auto"/>
          <w:lang w:val="en-US" w:eastAsia="zh-CN"/>
        </w:rPr>
        <w:t>城市基础设施配套费</w:t>
      </w:r>
      <w:r>
        <w:rPr>
          <w:rFonts w:hint="default" w:ascii="Times New Roman" w:hAnsi="Times New Roman" w:eastAsia="仿宋_GB2312" w:cs="Times New Roman"/>
          <w:i w:val="0"/>
          <w:caps w:val="0"/>
          <w:color w:val="auto"/>
          <w:spacing w:val="0"/>
          <w:kern w:val="0"/>
          <w:sz w:val="32"/>
          <w:szCs w:val="32"/>
          <w:shd w:val="clear" w:color="auto" w:fill="auto"/>
          <w:lang w:val="en-US" w:eastAsia="zh-CN"/>
        </w:rPr>
        <w:t>的相关规定与本细则不一致的，一律按本细则执行。</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auto"/>
          <w:lang w:val="en-US" w:eastAsia="zh-CN"/>
        </w:rPr>
      </w:pPr>
      <w:r>
        <w:rPr>
          <w:rFonts w:hint="default" w:ascii="黑体" w:hAnsi="黑体" w:eastAsia="黑体" w:cs="黑体"/>
          <w:b w:val="0"/>
          <w:bCs w:val="0"/>
          <w:i w:val="0"/>
          <w:caps w:val="0"/>
          <w:color w:val="auto"/>
          <w:spacing w:val="0"/>
          <w:kern w:val="0"/>
          <w:sz w:val="32"/>
          <w:szCs w:val="32"/>
          <w:shd w:val="clear" w:color="auto" w:fill="auto"/>
          <w:lang w:val="en-US" w:eastAsia="zh-CN"/>
        </w:rPr>
        <w:t>第</w:t>
      </w:r>
      <w:r>
        <w:rPr>
          <w:rFonts w:hint="eastAsia" w:ascii="黑体" w:hAnsi="黑体" w:eastAsia="黑体" w:cs="黑体"/>
          <w:b w:val="0"/>
          <w:bCs w:val="0"/>
          <w:i w:val="0"/>
          <w:caps w:val="0"/>
          <w:color w:val="auto"/>
          <w:spacing w:val="0"/>
          <w:kern w:val="0"/>
          <w:sz w:val="32"/>
          <w:szCs w:val="32"/>
          <w:shd w:val="clear" w:color="auto" w:fill="auto"/>
          <w:lang w:val="en-US" w:eastAsia="zh-CN"/>
        </w:rPr>
        <w:t>十</w:t>
      </w:r>
      <w:r>
        <w:rPr>
          <w:rFonts w:hint="default" w:ascii="黑体" w:hAnsi="黑体" w:eastAsia="黑体" w:cs="黑体"/>
          <w:b w:val="0"/>
          <w:bCs w:val="0"/>
          <w:i w:val="0"/>
          <w:caps w:val="0"/>
          <w:color w:val="auto"/>
          <w:spacing w:val="0"/>
          <w:kern w:val="0"/>
          <w:sz w:val="32"/>
          <w:szCs w:val="32"/>
          <w:shd w:val="clear" w:color="auto" w:fill="auto"/>
          <w:lang w:val="en-US" w:eastAsia="zh-CN"/>
        </w:rPr>
        <w:t>条</w:t>
      </w:r>
      <w:r>
        <w:rPr>
          <w:rFonts w:hint="eastAsia" w:ascii="黑体" w:hAnsi="黑体" w:eastAsia="黑体" w:cs="黑体"/>
          <w:b w:val="0"/>
          <w:bCs w:val="0"/>
          <w:i w:val="0"/>
          <w:caps w:val="0"/>
          <w:color w:val="auto"/>
          <w:spacing w:val="0"/>
          <w:kern w:val="0"/>
          <w:sz w:val="32"/>
          <w:szCs w:val="32"/>
          <w:shd w:val="clear" w:color="auto" w:fill="auto"/>
          <w:lang w:val="en-US" w:eastAsia="zh-CN"/>
        </w:rPr>
        <w:t xml:space="preserve">  </w:t>
      </w:r>
      <w:r>
        <w:rPr>
          <w:rFonts w:hint="eastAsia" w:ascii="仿宋_GB2312" w:hAnsi="仿宋_GB2312" w:eastAsia="仿宋_GB2312" w:cs="仿宋_GB2312"/>
          <w:i w:val="0"/>
          <w:caps w:val="0"/>
          <w:color w:val="auto"/>
          <w:spacing w:val="0"/>
          <w:kern w:val="0"/>
          <w:sz w:val="32"/>
          <w:szCs w:val="32"/>
          <w:shd w:val="clear" w:color="auto" w:fill="auto"/>
          <w:lang w:val="en-US" w:eastAsia="zh-CN"/>
        </w:rPr>
        <w:t>本细则自下发之日起施行。原《偃师市人民政府办公室关于印发偃师市城市基础设施配套费征收管理办法和偃师市城市基础设施配套费征收细则的通知》（偃政办〔2019〕17号）同时废止。</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textAlignment w:val="auto"/>
        <w:outlineLvl w:val="9"/>
        <w:rPr>
          <w:rFonts w:hint="eastAsia" w:ascii="仿宋_GB2312" w:hAnsi="仿宋_GB2312" w:eastAsia="仿宋_GB2312" w:cs="仿宋_GB2312"/>
          <w:color w:val="auto"/>
          <w:sz w:val="32"/>
          <w:szCs w:val="32"/>
          <w:shd w:val="clear" w:color="auto" w:fill="auto"/>
        </w:rPr>
      </w:pPr>
    </w:p>
    <w:p>
      <w:pPr>
        <w:pStyle w:val="14"/>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after="0" w:line="590" w:lineRule="exact"/>
        <w:ind w:left="0" w:leftChars="0" w:right="0" w:firstLine="0" w:firstLineChars="0"/>
        <w:textAlignment w:val="auto"/>
        <w:outlineLvl w:val="9"/>
        <w:rPr>
          <w:rFonts w:hint="eastAsia" w:ascii="仿宋_GB2312" w:hAnsi="仿宋_GB2312" w:eastAsia="仿宋_GB2312" w:cs="仿宋_GB2312"/>
          <w:color w:val="auto"/>
          <w:sz w:val="28"/>
          <w:szCs w:val="28"/>
          <w:shd w:val="clear" w:color="auto" w:fill="auto"/>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snapToGrid/>
        <w:spacing w:line="590" w:lineRule="exact"/>
        <w:ind w:left="0" w:leftChars="0" w:right="0"/>
        <w:jc w:val="center"/>
        <w:textAlignment w:val="auto"/>
        <w:rPr>
          <w:rFonts w:hint="eastAsia" w:ascii="仿宋_GB2312" w:hAnsi="仿宋_GB2312" w:eastAsia="仿宋_GB2312" w:cs="仿宋_GB2312"/>
          <w:b/>
          <w:bCs/>
          <w:sz w:val="44"/>
          <w:szCs w:val="44"/>
          <w:shd w:val="clear" w:color="auto" w:fill="auto"/>
          <w:lang w:val="en-US" w:eastAsia="zh-CN"/>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r>
        <w:rPr>
          <w:rFonts w:ascii="宋体" w:hAnsi="宋体" w:eastAsia="宋体" w:cs="黑体"/>
          <w:color w:val="000000"/>
          <w:kern w:val="0"/>
          <w:sz w:val="28"/>
          <w:szCs w:val="31"/>
          <w:shd w:val="clear" w:color="auto" w:fill="auto"/>
          <w:lang w:val="en-US" w:eastAsia="en-US" w:bidi="ar-SA"/>
        </w:rPr>
        <w:pict>
          <v:rect id="矩形 9" o:spid="_x0000_s1027" style="position:absolute;left:0;margin-left:368.6pt;margin-top:28.1pt;height:22.5pt;width:81.75pt;rotation:0f;z-index:251662336;" o:ole="f" fillcolor="#FFFFFF" filled="t" o:preferrelative="t" stroked="t" coordsize="21600,21600">
            <v:fill type="gradient" on="t" color2="#FFFFFF" o:opacity2="100%" colors="0f #FFFFFF;65536f #FFFFFF;" angle="-90" focus="0%" focussize="0f,0f" focusposition="0f,0f" method="linear sigma">
              <o:fill type="gradientUnscaled" v:ext="backwardCompatible"/>
            </v:fill>
            <v:stroke weight="1.25pt" color="#FFFFFF" color2="#FFFFFF" opacity="100%" miterlimit="2"/>
            <v:imagedata gain="65536f" blacklevel="0f" gamma="0"/>
            <o:lock v:ext="edit" position="f" selection="f" grouping="f" rotation="f" cropping="f" text="f" aspectratio="f"/>
          </v:rect>
        </w:pict>
      </w: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bookmarkStart w:id="0" w:name="_GoBack"/>
      <w:bookmarkEnd w:id="0"/>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ind w:left="0" w:leftChars="0" w:right="0" w:firstLine="0" w:firstLineChars="0"/>
        <w:jc w:val="center"/>
        <w:rPr>
          <w:rFonts w:hint="eastAsia" w:ascii="仿宋_GB2312" w:hAnsi="仿宋_GB2312" w:eastAsia="仿宋_GB2312" w:cs="仿宋_GB2312"/>
          <w:b w:val="0"/>
          <w:bCs w:val="0"/>
          <w:color w:val="auto"/>
          <w:sz w:val="32"/>
          <w:szCs w:val="32"/>
          <w:shd w:val="clear" w:color="auto" w:fill="auto"/>
        </w:rPr>
      </w:pPr>
    </w:p>
    <w:p>
      <w:pPr>
        <w:pStyle w:val="7"/>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600" w:lineRule="exact"/>
        <w:ind w:left="0" w:leftChars="0" w:right="0" w:firstLine="0" w:firstLineChars="0"/>
        <w:jc w:val="both"/>
        <w:rPr>
          <w:rFonts w:hint="eastAsia" w:ascii="仿宋_GB2312" w:hAnsi="仿宋_GB2312" w:eastAsia="仿宋_GB2312" w:cs="仿宋_GB2312"/>
          <w:b w:val="0"/>
          <w:bCs w:val="0"/>
          <w:snapToGrid w:val="0"/>
          <w:color w:val="auto"/>
          <w:w w:val="100"/>
          <w:kern w:val="0"/>
          <w:sz w:val="32"/>
          <w:szCs w:val="32"/>
          <w:shd w:val="clear" w:color="auto" w:fill="auto"/>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1871" w:right="1474" w:bottom="1701" w:left="1587" w:header="851" w:footer="1395" w:gutter="0"/>
      <w:lnNumType w:countBy="0" w:restart="continuous"/>
      <w:pgNumType w:fmt="decimal"/>
      <w:cols w:space="720" w:num="1"/>
      <w:rtlGutter w:val="0"/>
      <w:docGrid w:type="lines" w:linePitch="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ordWrap w:val="0"/>
      <w:jc w:val="right"/>
    </w:pPr>
    <w:r>
      <w:rPr>
        <w:rFonts w:hint="eastAsia" w:ascii="宋体" w:hAnsi="宋体" w:eastAsia="宋体" w:cs="宋体"/>
        <w:sz w:val="28"/>
        <w:lang w:eastAsia="zh-CN"/>
      </w:rPr>
      <w:t>—</w:t>
    </w:r>
    <w:r>
      <w:rPr>
        <w:rFonts w:hint="eastAsia" w:ascii="Times New Roman"/>
        <w:sz w:val="28"/>
        <w:lang w:eastAsia="zh-CN"/>
      </w:rPr>
      <w:t xml:space="preserve"> </w:t>
    </w:r>
    <w:r>
      <w:rPr>
        <w:rFonts w:ascii="Times New Roman"/>
        <w:sz w:val="28"/>
      </w:rPr>
      <w:fldChar w:fldCharType="begin"/>
    </w:r>
    <w:r>
      <w:rPr>
        <w:rFonts w:ascii="Times New Roman"/>
        <w:sz w:val="28"/>
      </w:rPr>
      <w:instrText xml:space="preserve"> PAGE  \* MERGEFORMAT </w:instrText>
    </w:r>
    <w:r>
      <w:rPr>
        <w:rFonts w:ascii="Times New Roman"/>
        <w:sz w:val="28"/>
      </w:rPr>
      <w:fldChar w:fldCharType="separate"/>
    </w:r>
    <w:r>
      <w:rPr>
        <w:rFonts w:ascii="Times New Roman"/>
        <w:sz w:val="28"/>
      </w:rPr>
      <w:t>1</w:t>
    </w:r>
    <w:r>
      <w:rPr>
        <w:rFonts w:ascii="Times New Roman"/>
        <w:sz w:val="28"/>
      </w:rPr>
      <w:fldChar w:fldCharType="end"/>
    </w:r>
    <w:r>
      <w:rPr>
        <w:rFonts w:hint="eastAsia" w:ascii="Times New Roman"/>
        <w:sz w:val="28"/>
        <w:lang w:eastAsia="zh-CN"/>
      </w:rPr>
      <w:t xml:space="preserve"> </w:t>
    </w:r>
    <w:r>
      <w:rPr>
        <w:rFonts w:hint="eastAsia" w:ascii="宋体" w:hAnsi="宋体" w:eastAsia="宋体" w:cs="宋体"/>
        <w:sz w:val="28"/>
        <w:lang w:eastAsia="zh-CN"/>
      </w:rPr>
      <w:t>—</w:t>
    </w:r>
    <w:r>
      <w:rPr>
        <w:rFonts w:hint="eastAsia" w:ascii="宋体" w:hAnsi="宋体" w:cs="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adjustRightInd/>
      <w:snapToGrid/>
      <w:spacing w:afterLines="25" w:line="240" w:lineRule="auto"/>
      <w:ind w:left="0" w:leftChars="0" w:right="0" w:firstLine="280" w:firstLineChars="100"/>
      <w:jc w:val="both"/>
      <w:textAlignment w:val="auto"/>
      <w:outlineLvl w:val="9"/>
    </w:pPr>
    <w:r>
      <w:rPr>
        <w:rFonts w:hint="eastAsia" w:ascii="宋体" w:hAnsi="宋体" w:eastAsia="宋体" w:cs="宋体"/>
        <w:sz w:val="28"/>
        <w:lang w:eastAsia="zh-CN"/>
      </w:rPr>
      <w:t>—</w:t>
    </w:r>
    <w:r>
      <w:rPr>
        <w:rFonts w:hint="eastAsia" w:ascii="Times New Roman"/>
        <w:sz w:val="28"/>
        <w:lang w:eastAsia="zh-CN"/>
      </w:rPr>
      <w:t xml:space="preserve"> </w:t>
    </w:r>
    <w:r>
      <w:rPr>
        <w:rFonts w:ascii="Times New Roman"/>
        <w:sz w:val="28"/>
      </w:rPr>
      <w:fldChar w:fldCharType="begin"/>
    </w:r>
    <w:r>
      <w:rPr>
        <w:rFonts w:ascii="Times New Roman"/>
        <w:sz w:val="28"/>
      </w:rPr>
      <w:instrText xml:space="preserve"> PAGE  \* MERGEFORMAT </w:instrText>
    </w:r>
    <w:r>
      <w:rPr>
        <w:rFonts w:ascii="Times New Roman"/>
        <w:sz w:val="28"/>
      </w:rPr>
      <w:fldChar w:fldCharType="separate"/>
    </w:r>
    <w:r>
      <w:rPr>
        <w:rFonts w:ascii="Times New Roman"/>
        <w:sz w:val="28"/>
      </w:rPr>
      <w:t>1</w:t>
    </w:r>
    <w:r>
      <w:rPr>
        <w:rFonts w:ascii="Times New Roman"/>
        <w:sz w:val="28"/>
      </w:rPr>
      <w:fldChar w:fldCharType="end"/>
    </w:r>
    <w:r>
      <w:rPr>
        <w:rFonts w:hint="eastAsia" w:ascii="Times New Roman"/>
        <w:sz w:val="28"/>
        <w:lang w:eastAsia="zh-CN"/>
      </w:rPr>
      <w:t xml:space="preserve"> </w:t>
    </w:r>
    <w:r>
      <w:rPr>
        <w:rFonts w:hint="eastAsia" w:ascii="宋体" w:hAnsi="宋体" w:eastAsia="宋体" w:cs="宋体"/>
        <w:sz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bordersDoNotSurroundHeader w:val="1"/>
  <w:bordersDoNotSurroundFooter w:val="1"/>
  <w:documentProtection w:enforcement="0"/>
  <w:defaultTabStop w:val="420"/>
  <w:evenAndOddHeaders w:val="1"/>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link w:val="20"/>
    <w:qFormat/>
    <w:uiPriority w:val="0"/>
    <w:pPr>
      <w:keepNext/>
      <w:keepLines/>
      <w:spacing w:line="560" w:lineRule="exact"/>
      <w:ind w:firstLine="200" w:firstLineChars="200"/>
      <w:outlineLvl w:val="0"/>
    </w:pPr>
    <w:rPr>
      <w:rFonts w:ascii="Times New Roman" w:hAnsi="Times New Roman" w:eastAsia="黑体" w:cs="Times New Roman"/>
      <w:bCs/>
      <w:kern w:val="44"/>
      <w:sz w:val="32"/>
      <w:szCs w:val="44"/>
    </w:rPr>
  </w:style>
  <w:style w:type="paragraph" w:styleId="5">
    <w:name w:val="heading 2"/>
    <w:basedOn w:val="1"/>
    <w:next w:val="1"/>
    <w:unhideWhenUsed/>
    <w:qFormat/>
    <w:uiPriority w:val="0"/>
    <w:pPr>
      <w:keepNext/>
      <w:keepLines/>
      <w:spacing w:line="560" w:lineRule="exact"/>
      <w:ind w:firstLine="200" w:firstLineChars="200"/>
      <w:outlineLvl w:val="1"/>
    </w:pPr>
    <w:rPr>
      <w:rFonts w:ascii="Times New Roman" w:hAnsi="Times New Roman" w:eastAsia="楷体" w:cs="Times New Roman"/>
      <w:bCs/>
      <w:kern w:val="0"/>
      <w:sz w:val="32"/>
    </w:rPr>
  </w:style>
  <w:style w:type="paragraph" w:styleId="6">
    <w:name w:val="heading 3"/>
    <w:basedOn w:val="1"/>
    <w:next w:val="1"/>
    <w:unhideWhenUsed/>
    <w:qFormat/>
    <w:uiPriority w:val="0"/>
    <w:pPr>
      <w:keepNext/>
      <w:keepLines/>
      <w:spacing w:line="560" w:lineRule="exact"/>
      <w:ind w:firstLine="200" w:firstLineChars="200"/>
      <w:outlineLvl w:val="2"/>
    </w:pPr>
    <w:rPr>
      <w:rFonts w:ascii="Times New Roman" w:hAnsi="Times New Roman" w:eastAsia="仿宋_GB2312" w:cs="Times New Roman"/>
      <w:b/>
      <w:bCs/>
      <w:kern w:val="0"/>
      <w:sz w:val="32"/>
    </w:rPr>
  </w:style>
  <w:style w:type="character" w:default="1" w:styleId="13">
    <w:name w:val="Default Paragraph Font"/>
    <w:semiHidden/>
    <w:qFormat/>
    <w:uiPriority w:val="0"/>
  </w:style>
  <w:style w:type="paragraph" w:customStyle="1" w:styleId="2">
    <w:name w:val="Default"/>
    <w:next w:val="3"/>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
    <w:name w:val="Subtitle"/>
    <w:basedOn w:val="1"/>
    <w:next w:val="1"/>
    <w:qFormat/>
    <w:uiPriority w:val="0"/>
    <w:pPr>
      <w:widowControl/>
      <w:wordWrap w:val="0"/>
      <w:spacing w:before="0" w:after="60" w:line="240" w:lineRule="auto"/>
      <w:ind w:left="0" w:firstLine="0"/>
      <w:jc w:val="center"/>
    </w:pPr>
    <w:rPr>
      <w:rFonts w:ascii="Times New Roman" w:hAnsi="Times New Roman" w:eastAsia="宋体" w:cs="Times New Roman"/>
      <w:sz w:val="24"/>
    </w:rPr>
  </w:style>
  <w:style w:type="paragraph" w:styleId="7">
    <w:name w:val="Body Text"/>
    <w:basedOn w:val="1"/>
    <w:next w:val="1"/>
    <w:qFormat/>
    <w:uiPriority w:val="0"/>
    <w:pPr>
      <w:ind w:left="325"/>
      <w:jc w:val="left"/>
    </w:pPr>
    <w:rPr>
      <w:rFonts w:ascii="宋体" w:hAnsi="宋体"/>
      <w:kern w:val="0"/>
      <w:sz w:val="31"/>
      <w:szCs w:val="31"/>
      <w:lang w:eastAsia="en-US"/>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widowControl/>
      <w:adjustRightInd/>
      <w:snapToGrid/>
      <w:spacing w:before="240" w:after="60" w:line="240" w:lineRule="auto"/>
      <w:jc w:val="center"/>
      <w:outlineLvl w:val="0"/>
    </w:pPr>
    <w:rPr>
      <w:rFonts w:ascii="Cambria" w:hAnsi="Cambria" w:eastAsia="宋体" w:cs="Times New Roman"/>
      <w:b/>
      <w:bCs/>
      <w:kern w:val="28"/>
      <w:szCs w:val="32"/>
      <w:lang w:eastAsia="en-US"/>
    </w:rPr>
  </w:style>
  <w:style w:type="paragraph" w:customStyle="1" w:styleId="14">
    <w:name w:val="BodyText1I2"/>
    <w:basedOn w:val="15"/>
    <w:qFormat/>
    <w:uiPriority w:val="0"/>
    <w:pPr>
      <w:spacing w:after="120"/>
      <w:ind w:left="420" w:leftChars="200" w:firstLine="420" w:firstLineChars="200"/>
      <w:jc w:val="both"/>
      <w:textAlignment w:val="baseline"/>
    </w:pPr>
  </w:style>
  <w:style w:type="paragraph" w:customStyle="1" w:styleId="15">
    <w:name w:val="BodyTextIndent"/>
    <w:basedOn w:val="1"/>
    <w:next w:val="16"/>
    <w:qFormat/>
    <w:uiPriority w:val="0"/>
    <w:pPr>
      <w:spacing w:after="120"/>
      <w:ind w:left="420" w:leftChars="200"/>
      <w:jc w:val="both"/>
      <w:textAlignment w:val="baseline"/>
    </w:pPr>
  </w:style>
  <w:style w:type="paragraph" w:customStyle="1" w:styleId="16">
    <w:name w:val="NormalIndent"/>
    <w:basedOn w:val="1"/>
    <w:qFormat/>
    <w:uiPriority w:val="0"/>
    <w:pPr>
      <w:ind w:firstLine="420" w:firstLineChars="200"/>
      <w:jc w:val="both"/>
      <w:textAlignment w:val="baseline"/>
    </w:pPr>
    <w:rPr>
      <w:rFonts w:ascii="Calibri" w:hAnsi="Calibri" w:eastAsia="仿宋"/>
      <w:kern w:val="2"/>
      <w:sz w:val="32"/>
      <w:lang w:val="en-US" w:eastAsia="zh-CN"/>
    </w:rPr>
  </w:style>
  <w:style w:type="paragraph" w:customStyle="1" w:styleId="17">
    <w:name w:val="_Style 3"/>
    <w:basedOn w:val="1"/>
    <w:qFormat/>
    <w:uiPriority w:val="0"/>
    <w:pPr>
      <w:ind w:firstLine="420" w:firstLineChars="200"/>
    </w:pPr>
    <w:rPr>
      <w:rFonts w:ascii="Times New Roman" w:hAnsi="Times New Roman" w:eastAsia="宋体" w:cs="Times New Roman"/>
    </w:rPr>
  </w:style>
  <w:style w:type="paragraph" w:customStyle="1" w:styleId="18">
    <w:name w:val="Normal (Web)"/>
    <w:qFormat/>
    <w:uiPriority w:val="0"/>
    <w:pPr>
      <w:spacing w:before="100" w:beforeAutospacing="1" w:after="100" w:afterAutospacing="1"/>
      <w:ind w:left="0" w:right="0"/>
      <w:jc w:val="left"/>
    </w:pPr>
    <w:rPr>
      <w:rFonts w:ascii="Times New Roman" w:hAnsi="Times New Roman" w:eastAsia="宋体" w:cs="Times New Roman"/>
      <w:kern w:val="0"/>
      <w:sz w:val="24"/>
      <w:szCs w:val="22"/>
      <w:lang w:val="en-US" w:eastAsia="zh-CN"/>
    </w:rPr>
  </w:style>
  <w:style w:type="character" w:customStyle="1" w:styleId="19">
    <w:name w:val="NormalCharacter"/>
    <w:semiHidden/>
    <w:qFormat/>
    <w:uiPriority w:val="0"/>
  </w:style>
  <w:style w:type="character" w:customStyle="1" w:styleId="20">
    <w:name w:val="标题 1 Char Char"/>
    <w:link w:val="4"/>
    <w:uiPriority w:val="0"/>
    <w:rPr>
      <w:rFonts w:ascii="Times New Roman" w:hAnsi="Times New Roman" w:eastAsia="黑体" w:cs="Times New Roman"/>
      <w:bCs/>
      <w:kern w:val="44"/>
      <w:sz w:val="32"/>
      <w:szCs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5762</Words>
  <Characters>5906</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2021-08-26T03:08:00Z</dcterms:created>
  <dc:creator>阳啊阳</dc:creator>
  <cp:lastModifiedBy>Administrator</cp:lastModifiedBy>
  <cp:lastPrinted>2022-01-11T01:54:00Z</cp:lastPrinted>
  <dcterms:modified xsi:type="dcterms:W3CDTF">2023-12-07T01:24:42Z</dcterms:modified>
  <dc:title>洛阳市偃师区人民政府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D3A2B4CBA93149FF99725135CF3BFB45</vt:lpwstr>
  </property>
</Properties>
</file>