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69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240" w:lineRule="auto"/>
        <w:ind w:right="0" w:rightChars="0"/>
        <w:jc w:val="center"/>
        <w:rPr>
          <w:rFonts w:hint="default" w:ascii="Times New Roman" w:hAnsi="Times New Roman" w:eastAsia="仿宋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" w:cs="Times New Roman"/>
          <w:sz w:val="44"/>
          <w:szCs w:val="44"/>
          <w:lang w:val="en-US" w:eastAsia="zh-CN"/>
        </w:rPr>
        <w:t>新安县审计局审计结果公告</w:t>
      </w:r>
    </w:p>
    <w:p w14:paraId="6F3B3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240" w:lineRule="auto"/>
        <w:ind w:right="0" w:rightChars="0"/>
        <w:jc w:val="center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（二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二五年十一月十一日）</w:t>
      </w:r>
    </w:p>
    <w:p w14:paraId="0FB38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240" w:lineRule="auto"/>
        <w:ind w:right="0" w:rightChars="0"/>
        <w:jc w:val="center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2025年第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</w:t>
      </w:r>
    </w:p>
    <w:p w14:paraId="10793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240" w:lineRule="auto"/>
        <w:ind w:right="0" w:rightChars="0"/>
        <w:jc w:val="center"/>
        <w:rPr>
          <w:rFonts w:hint="default" w:ascii="Times New Roman" w:hAnsi="Times New Roman" w:eastAsia="仿宋" w:cs="Times New Roman"/>
          <w:sz w:val="44"/>
          <w:szCs w:val="44"/>
          <w:lang w:val="en-US" w:eastAsia="zh-CN"/>
        </w:rPr>
      </w:pPr>
    </w:p>
    <w:p w14:paraId="2F43B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240" w:lineRule="auto"/>
        <w:ind w:right="0" w:rightChars="0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新安县南李村镇2024年度决算情况</w:t>
      </w:r>
    </w:p>
    <w:p w14:paraId="1633D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240" w:lineRule="auto"/>
        <w:ind w:right="0" w:rightChars="0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审计报告</w:t>
      </w:r>
    </w:p>
    <w:p w14:paraId="3D1FC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240" w:lineRule="exact"/>
        <w:ind w:right="0" w:rightChars="0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</w:p>
    <w:p w14:paraId="037EC762">
      <w:pPr>
        <w:spacing w:line="220" w:lineRule="atLeast"/>
        <w:ind w:firstLine="640" w:firstLineChars="200"/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根据《中华人民共和国审计法》第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十八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条的规定，经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中共新安县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审计委员会批准，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新安县审计局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自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</w:t>
      </w:r>
      <w:r>
        <w:rPr>
          <w:rFonts w:hint="eastAsia" w:ascii="仿宋" w:hAnsi="仿宋" w:eastAsia="仿宋" w:cs="仿宋"/>
          <w:bCs/>
          <w:kern w:val="2"/>
          <w:sz w:val="32"/>
          <w:szCs w:val="32"/>
          <w:highlight w:val="none"/>
        </w:rPr>
        <w:t>对</w:t>
      </w:r>
      <w:r>
        <w:rPr>
          <w:rFonts w:hint="eastAsia" w:ascii="仿宋" w:hAnsi="仿宋" w:eastAsia="仿宋" w:cs="仿宋"/>
          <w:bCs/>
          <w:kern w:val="2"/>
          <w:sz w:val="32"/>
          <w:szCs w:val="32"/>
          <w:highlight w:val="none"/>
          <w:lang w:val="en-US" w:eastAsia="zh-CN"/>
        </w:rPr>
        <w:t>南李村镇</w:t>
      </w:r>
      <w:r>
        <w:rPr>
          <w:rFonts w:hint="eastAsia" w:ascii="仿宋" w:hAnsi="仿宋" w:eastAsia="仿宋" w:cs="仿宋"/>
          <w:bCs/>
          <w:kern w:val="2"/>
          <w:sz w:val="32"/>
          <w:szCs w:val="32"/>
          <w:highlight w:val="none"/>
        </w:rPr>
        <w:t>人民政府202</w:t>
      </w:r>
      <w:r>
        <w:rPr>
          <w:rFonts w:hint="eastAsia" w:ascii="仿宋" w:hAnsi="仿宋" w:eastAsia="仿宋" w:cs="仿宋"/>
          <w:bCs/>
          <w:kern w:val="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kern w:val="2"/>
          <w:sz w:val="32"/>
          <w:szCs w:val="32"/>
          <w:highlight w:val="none"/>
        </w:rPr>
        <w:t>年度决算等情况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进行了审计，对重要事项进行了必要的延伸和追溯。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南李村镇</w:t>
      </w:r>
      <w:r>
        <w:rPr>
          <w:rFonts w:hint="eastAsia" w:ascii="仿宋" w:hAnsi="仿宋" w:eastAsia="仿宋" w:cs="仿宋"/>
          <w:bCs/>
          <w:kern w:val="2"/>
          <w:sz w:val="32"/>
          <w:szCs w:val="32"/>
          <w:highlight w:val="none"/>
        </w:rPr>
        <w:t>人民政府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对其提供的财务会计资料以及其他相关资料的及时性、真实性和完整性负责，</w:t>
      </w:r>
      <w:r>
        <w:rPr>
          <w:rFonts w:hint="eastAsia" w:ascii="仿宋" w:hAnsi="仿宋" w:eastAsia="仿宋" w:cs="仿宋"/>
          <w:sz w:val="32"/>
          <w:highlight w:val="none"/>
        </w:rPr>
        <w:t>并作出书面承诺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新安县审计局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的责任是依法独立实施审计并出具审计报告。</w:t>
      </w:r>
    </w:p>
    <w:p w14:paraId="0B7DD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一、被审计单位基本情况</w:t>
      </w:r>
    </w:p>
    <w:p w14:paraId="703C7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Cs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Cs/>
          <w:kern w:val="2"/>
          <w:sz w:val="32"/>
          <w:szCs w:val="32"/>
          <w:lang w:val="en-US" w:eastAsia="zh-CN"/>
        </w:rPr>
        <w:t>（一）被审计单位基本情况</w:t>
      </w:r>
    </w:p>
    <w:p w14:paraId="25AC1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南李村镇位于新安县南部，与宜阳县接壤，是新安县的“南大门”，距县城6公里，东距洛阳市15公里。全镇镇域面积90.2平方公里，辖内1个社区、30个行政村，225个村民组，耕地面积7.8万亩，总人口3.6万人。南李村镇党委、政府贯彻落实党和国家在农村的各项方针政策和法律法规，管理南李村镇的经济、教育、科学、文化、卫生、体育等事业和生态环境保护、财政、民政、社会保障、公安、司法行政、人口与计划生育等有关工作。</w:t>
      </w:r>
    </w:p>
    <w:p w14:paraId="7A2C7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南李村人民政府下设党政综合办公室、党建工作办公室、经济发展办公室、乡村建设办公室、公共服务办公室、平安建设办公室、综合行政执法大队、行政审批服务中心、村镇规划建设办公室、文化旅游发展服务中心，共计10个机构。南李村镇财政所、市场监督管理所、矿产资源管理站实行属地管理，业务接受上级部门指导。</w:t>
      </w:r>
    </w:p>
    <w:p w14:paraId="1239B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2024年南李村镇党委、政府共有行政编制31名、全供事业编制70名。截止2024年底，南李村镇人民政府共有在编人员102人：行政编制25人，事业编制77人。经费实行财政全额预算管理，会计核算纳入县国库支付中心统一管理。</w:t>
      </w:r>
    </w:p>
    <w:p w14:paraId="6118B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highlight w:val="none"/>
          <w:lang w:val="en-US" w:eastAsia="zh-CN" w:bidi="ar-SA"/>
        </w:rPr>
        <w:t>（二）2024年决算情况</w:t>
      </w:r>
    </w:p>
    <w:p w14:paraId="2DA72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1.收支情况</w:t>
      </w:r>
    </w:p>
    <w:p w14:paraId="501A1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2024年收入总计4842.65万元。其中：一般公共预算财政拨款收入3970.12万元，政府性基金预算财政拨款收入872.54万元。</w:t>
      </w:r>
    </w:p>
    <w:p w14:paraId="2D087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2024年支出总计4842.65万元。基本支出2081.04万元，项目支出2761.62万元。</w:t>
      </w:r>
    </w:p>
    <w:p w14:paraId="0AA4B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2.南李村镇人民政府2024年底债权债务情况</w:t>
      </w:r>
    </w:p>
    <w:p w14:paraId="294C4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（1）债权情况</w:t>
      </w:r>
    </w:p>
    <w:p w14:paraId="69EE3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2024年底账面债权为2005.36万元，全部为其他应收款2005.37万元。</w:t>
      </w:r>
    </w:p>
    <w:p w14:paraId="6E0A6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（2）债务情况</w:t>
      </w:r>
    </w:p>
    <w:p w14:paraId="0D6C3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2024年底债务余额为1121.06万元。其中应付款19.99万元，其他应付款1101.07万元。</w:t>
      </w:r>
    </w:p>
    <w:p w14:paraId="534E0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3.“三公”经费管理使用情况</w:t>
      </w:r>
    </w:p>
    <w:p w14:paraId="5A315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2024年度实际公务接待费支出0万元，公务用车运行及维护费支出1.23万元，无因公出国（境）支出。</w:t>
      </w:r>
    </w:p>
    <w:p w14:paraId="540E5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4.南李村镇国有资产（资源）情况</w:t>
      </w:r>
    </w:p>
    <w:p w14:paraId="52EE7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南李村镇账面资产总额4382.67万元，其中无形资产233.76万元,固定资产828.83万元，在建工程3320.08万元。</w:t>
      </w:r>
    </w:p>
    <w:p w14:paraId="63813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二、审计评价意见</w:t>
      </w:r>
    </w:p>
    <w:p w14:paraId="3F5C8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审计结果表明，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南李村</w:t>
      </w:r>
      <w:r>
        <w:rPr>
          <w:rFonts w:hint="eastAsia" w:ascii="仿宋" w:hAnsi="仿宋" w:eastAsia="仿宋" w:cs="仿宋"/>
          <w:sz w:val="32"/>
          <w:szCs w:val="32"/>
        </w:rPr>
        <w:t>镇提供的资料基本真实反映了本部门决算和其他财政财务收支情况，内部控制制度基本健全有效，会计处理基本符合财经法规的要求，财务报表基本反映了预算执行和其他财政财务收支情况。但审计也发现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南李村镇</w:t>
      </w:r>
      <w:r>
        <w:rPr>
          <w:rFonts w:hint="eastAsia" w:ascii="仿宋" w:hAnsi="仿宋" w:eastAsia="仿宋" w:cs="仿宋"/>
          <w:sz w:val="32"/>
          <w:szCs w:val="32"/>
        </w:rPr>
        <w:t>还在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国有资产管理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决算编制及管理、</w:t>
      </w:r>
      <w:r>
        <w:rPr>
          <w:rFonts w:hint="eastAsia" w:ascii="仿宋" w:hAnsi="仿宋" w:eastAsia="仿宋" w:cs="仿宋"/>
          <w:sz w:val="32"/>
          <w:szCs w:val="32"/>
        </w:rPr>
        <w:t>财政财务管理等方面还存在问题，需要进一步加以纠正和改进。</w:t>
      </w:r>
    </w:p>
    <w:p w14:paraId="34AEA0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审计发现的主要问题</w:t>
      </w:r>
    </w:p>
    <w:p w14:paraId="058691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highlight w:val="none"/>
          <w:lang w:val="en-US" w:eastAsia="zh-CN" w:bidi="ar-SA"/>
        </w:rPr>
        <w:t>（一）重大决策部署和重点工作任务贯彻落实情况</w:t>
      </w:r>
    </w:p>
    <w:p w14:paraId="0DB6155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存在未优先安排“三保”支出、国有资产长期闲置等问题。</w:t>
      </w:r>
    </w:p>
    <w:p w14:paraId="45662A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（二）部门决算编制及管理情况</w:t>
      </w:r>
    </w:p>
    <w:p w14:paraId="733A5DB7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存在超预算列支公务用车运行维护费、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账表不符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、未按规定压减一般性支出等问题。</w:t>
      </w:r>
    </w:p>
    <w:p w14:paraId="15AE69CF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财政财务管理方面</w:t>
      </w:r>
    </w:p>
    <w:p w14:paraId="7B9952E9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存在改变国有资产用途、约定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工程预付款超比例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差旅费报销单填写不规范等问题。</w:t>
      </w:r>
    </w:p>
    <w:p w14:paraId="6463CC2E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落实党风廉政建设方面</w:t>
      </w:r>
    </w:p>
    <w:p w14:paraId="016C684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存在未建立车辆台账，未记录车辆使用、维修等信息等问题。</w:t>
      </w:r>
    </w:p>
    <w:p w14:paraId="413863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color w:val="auto"/>
          <w:kern w:val="2"/>
          <w:sz w:val="32"/>
          <w:szCs w:val="32"/>
          <w:lang w:val="en-US" w:eastAsia="zh-CN" w:bidi="ar-SA"/>
        </w:rPr>
        <w:t>对所属单位监督管理情况</w:t>
      </w:r>
    </w:p>
    <w:p w14:paraId="6ACA44B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存在后补项目验收报告、产业项目管护不到位等问题。</w:t>
      </w:r>
    </w:p>
    <w:p w14:paraId="1304A1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履行内部审计监督职责方面</w:t>
      </w:r>
    </w:p>
    <w:p w14:paraId="65D186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存在未有效开展内部审计工作等问题</w:t>
      </w:r>
    </w:p>
    <w:p w14:paraId="56DB735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四、审计建议</w:t>
      </w:r>
    </w:p>
    <w:p w14:paraId="7491B964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（一）加强建设项目监管，规范建设项目管理。</w:t>
      </w:r>
    </w:p>
    <w:p w14:paraId="26C0152D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（二）规范年度决算编制。</w:t>
      </w:r>
    </w:p>
    <w:p w14:paraId="3E1EE23E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（三）加强对下属村级单位有关经济活动的监管，规范村级单位资金使用和财务核算。</w:t>
      </w:r>
    </w:p>
    <w:p w14:paraId="272CA3BF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（四）加强财务管理和规范化建设，健全各项内部管理制度和内部控制制度。</w:t>
      </w:r>
    </w:p>
    <w:p w14:paraId="69F3D788">
      <w:pPr>
        <w:pStyle w:val="8"/>
        <w:jc w:val="right"/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 xml:space="preserve">    </w:t>
      </w:r>
    </w:p>
    <w:sectPr>
      <w:footerReference r:id="rId3" w:type="default"/>
      <w:pgSz w:w="11906" w:h="16838"/>
      <w:pgMar w:top="1701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69F6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A3C25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A3C25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CF5F45"/>
    <w:multiLevelType w:val="singleLevel"/>
    <w:tmpl w:val="87CF5F4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A601F58"/>
    <w:multiLevelType w:val="singleLevel"/>
    <w:tmpl w:val="3A601F5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663A1"/>
    <w:rsid w:val="01686D48"/>
    <w:rsid w:val="017B5E01"/>
    <w:rsid w:val="01C97523"/>
    <w:rsid w:val="01D104AD"/>
    <w:rsid w:val="037E467A"/>
    <w:rsid w:val="03E9547A"/>
    <w:rsid w:val="05D639A0"/>
    <w:rsid w:val="0629053B"/>
    <w:rsid w:val="07604EDD"/>
    <w:rsid w:val="089D032E"/>
    <w:rsid w:val="0A153B29"/>
    <w:rsid w:val="0A1B49A5"/>
    <w:rsid w:val="0CBA5499"/>
    <w:rsid w:val="0D116EA1"/>
    <w:rsid w:val="0EEF0710"/>
    <w:rsid w:val="0F7E1279"/>
    <w:rsid w:val="0F8D4AB4"/>
    <w:rsid w:val="114E2C82"/>
    <w:rsid w:val="12C6335C"/>
    <w:rsid w:val="13C80904"/>
    <w:rsid w:val="144E65DE"/>
    <w:rsid w:val="14BC32E5"/>
    <w:rsid w:val="1505030B"/>
    <w:rsid w:val="1634416C"/>
    <w:rsid w:val="17974DC1"/>
    <w:rsid w:val="18822231"/>
    <w:rsid w:val="1A150658"/>
    <w:rsid w:val="1A2566F4"/>
    <w:rsid w:val="1A512A3C"/>
    <w:rsid w:val="1A5E22E4"/>
    <w:rsid w:val="1BA2742A"/>
    <w:rsid w:val="1D57170B"/>
    <w:rsid w:val="1D916391"/>
    <w:rsid w:val="1E0E6CB0"/>
    <w:rsid w:val="1E117F64"/>
    <w:rsid w:val="1F184F13"/>
    <w:rsid w:val="1F4F75EB"/>
    <w:rsid w:val="202C0561"/>
    <w:rsid w:val="2043117D"/>
    <w:rsid w:val="233C215F"/>
    <w:rsid w:val="262E1DE5"/>
    <w:rsid w:val="287F3F80"/>
    <w:rsid w:val="2A714DE8"/>
    <w:rsid w:val="2B126365"/>
    <w:rsid w:val="2B634FBD"/>
    <w:rsid w:val="2BB327BE"/>
    <w:rsid w:val="2C7F4490"/>
    <w:rsid w:val="2CF92AD5"/>
    <w:rsid w:val="2D253BC6"/>
    <w:rsid w:val="2F1722D1"/>
    <w:rsid w:val="2F7E4012"/>
    <w:rsid w:val="31DF5917"/>
    <w:rsid w:val="32537D9E"/>
    <w:rsid w:val="325767A5"/>
    <w:rsid w:val="32A77828"/>
    <w:rsid w:val="34F03359"/>
    <w:rsid w:val="35366BDD"/>
    <w:rsid w:val="359B5BFF"/>
    <w:rsid w:val="35F05C1F"/>
    <w:rsid w:val="35F13A8D"/>
    <w:rsid w:val="37431819"/>
    <w:rsid w:val="378309A0"/>
    <w:rsid w:val="38B90A1D"/>
    <w:rsid w:val="3905309B"/>
    <w:rsid w:val="39E42709"/>
    <w:rsid w:val="3C5E791A"/>
    <w:rsid w:val="3CD11E57"/>
    <w:rsid w:val="3CD958B0"/>
    <w:rsid w:val="3D0C2F35"/>
    <w:rsid w:val="3D7E2D85"/>
    <w:rsid w:val="3FA54DF8"/>
    <w:rsid w:val="40973487"/>
    <w:rsid w:val="409E2E12"/>
    <w:rsid w:val="40D765F3"/>
    <w:rsid w:val="41DD6DCA"/>
    <w:rsid w:val="41FA4C85"/>
    <w:rsid w:val="42644FFC"/>
    <w:rsid w:val="44984918"/>
    <w:rsid w:val="451C3BF0"/>
    <w:rsid w:val="46136706"/>
    <w:rsid w:val="469B6B1C"/>
    <w:rsid w:val="46BB5E7A"/>
    <w:rsid w:val="474B6403"/>
    <w:rsid w:val="49FF2174"/>
    <w:rsid w:val="4A2B2C78"/>
    <w:rsid w:val="4B2623C8"/>
    <w:rsid w:val="4DC67027"/>
    <w:rsid w:val="5013686C"/>
    <w:rsid w:val="528F4A01"/>
    <w:rsid w:val="58AA3FD8"/>
    <w:rsid w:val="59BD4359"/>
    <w:rsid w:val="59DF6902"/>
    <w:rsid w:val="5B2B0B23"/>
    <w:rsid w:val="5DBF0ADC"/>
    <w:rsid w:val="606345B3"/>
    <w:rsid w:val="61B00EFA"/>
    <w:rsid w:val="639962F3"/>
    <w:rsid w:val="63A42106"/>
    <w:rsid w:val="64277953"/>
    <w:rsid w:val="64815214"/>
    <w:rsid w:val="64A55079"/>
    <w:rsid w:val="657D3011"/>
    <w:rsid w:val="65EE45C9"/>
    <w:rsid w:val="65FE4864"/>
    <w:rsid w:val="6659353D"/>
    <w:rsid w:val="67E85689"/>
    <w:rsid w:val="68A657F8"/>
    <w:rsid w:val="69FA2AEA"/>
    <w:rsid w:val="6A1642EA"/>
    <w:rsid w:val="6B792BF7"/>
    <w:rsid w:val="6C8E23FB"/>
    <w:rsid w:val="6D0124A4"/>
    <w:rsid w:val="6D1D2712"/>
    <w:rsid w:val="6F046D30"/>
    <w:rsid w:val="6F061136"/>
    <w:rsid w:val="6F437B19"/>
    <w:rsid w:val="70A568B2"/>
    <w:rsid w:val="71336FC4"/>
    <w:rsid w:val="752F0ACE"/>
    <w:rsid w:val="77FB5BDE"/>
    <w:rsid w:val="78F92189"/>
    <w:rsid w:val="790C1EBD"/>
    <w:rsid w:val="799F2917"/>
    <w:rsid w:val="79B21659"/>
    <w:rsid w:val="79B85A3F"/>
    <w:rsid w:val="7A741675"/>
    <w:rsid w:val="7AA16864"/>
    <w:rsid w:val="7B6E5127"/>
    <w:rsid w:val="7B7B69A5"/>
    <w:rsid w:val="7DAB70D8"/>
    <w:rsid w:val="7E0D0EDC"/>
    <w:rsid w:val="7EE9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宋体"/>
      <w:sz w:val="21"/>
      <w:szCs w:val="24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next w:val="1"/>
    <w:qFormat/>
    <w:uiPriority w:val="0"/>
    <w:pPr>
      <w:snapToGrid w:val="0"/>
      <w:spacing w:line="579" w:lineRule="exact"/>
    </w:pPr>
    <w:rPr>
      <w:rFonts w:eastAsia="仿宋_GB2312"/>
      <w:sz w:val="32"/>
    </w:rPr>
  </w:style>
  <w:style w:type="paragraph" w:styleId="5">
    <w:name w:val="Body Text Indent"/>
    <w:basedOn w:val="1"/>
    <w:link w:val="20"/>
    <w:qFormat/>
    <w:uiPriority w:val="0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next w:val="9"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Body Text First Indent 2"/>
    <w:basedOn w:val="5"/>
    <w:qFormat/>
    <w:uiPriority w:val="0"/>
    <w:pPr>
      <w:spacing w:after="0"/>
      <w:ind w:left="0" w:leftChars="0" w:firstLine="420" w:firstLineChars="200"/>
    </w:pPr>
    <w:rPr>
      <w:rFonts w:ascii="Calibri" w:hAnsi="Calibri" w:eastAsia="宋体" w:cs="Calibri"/>
      <w:sz w:val="30"/>
      <w:szCs w:val="30"/>
    </w:rPr>
  </w:style>
  <w:style w:type="paragraph" w:styleId="10">
    <w:name w:val="Body Text Indent 3"/>
    <w:basedOn w:val="1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1">
    <w:name w:val="annotation subject"/>
    <w:basedOn w:val="3"/>
    <w:next w:val="1"/>
    <w:unhideWhenUsed/>
    <w:qFormat/>
    <w:uiPriority w:val="99"/>
    <w:rPr>
      <w:b/>
      <w:bCs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正文缩进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仿宋_GB2312" w:cs="Times New Roman"/>
      <w:kern w:val="2"/>
      <w:sz w:val="32"/>
      <w:szCs w:val="32"/>
      <w:lang w:val="en-US" w:eastAsia="zh-CN" w:bidi="ar"/>
    </w:rPr>
  </w:style>
  <w:style w:type="paragraph" w:customStyle="1" w:styleId="16">
    <w:name w:val="发文单位"/>
    <w:basedOn w:val="1"/>
    <w:qFormat/>
    <w:uiPriority w:val="0"/>
    <w:pPr>
      <w:widowControl w:val="0"/>
      <w:snapToGrid/>
      <w:spacing w:after="0" w:line="560" w:lineRule="atLeast"/>
      <w:jc w:val="center"/>
      <w:textAlignment w:val="baseline"/>
    </w:pPr>
    <w:rPr>
      <w:rFonts w:ascii="黑体" w:hAnsi="Times New Roman" w:eastAsia="黑体" w:cs="Times New Roman"/>
      <w:color w:val="FF0000"/>
      <w:spacing w:val="60"/>
      <w:sz w:val="52"/>
      <w:szCs w:val="24"/>
    </w:rPr>
  </w:style>
  <w:style w:type="paragraph" w:customStyle="1" w:styleId="17">
    <w:name w:val="文书类型"/>
    <w:basedOn w:val="1"/>
    <w:qFormat/>
    <w:uiPriority w:val="0"/>
    <w:pPr>
      <w:widowControl w:val="0"/>
      <w:snapToGrid/>
      <w:spacing w:after="0" w:line="560" w:lineRule="atLeast"/>
      <w:jc w:val="center"/>
      <w:textAlignment w:val="baseline"/>
    </w:pPr>
    <w:rPr>
      <w:rFonts w:ascii="黑体" w:hAnsi="Times New Roman" w:eastAsia="黑体" w:cs="Times New Roman"/>
      <w:color w:val="FF0000"/>
      <w:spacing w:val="120"/>
      <w:sz w:val="84"/>
      <w:szCs w:val="24"/>
    </w:rPr>
  </w:style>
  <w:style w:type="paragraph" w:customStyle="1" w:styleId="18">
    <w:name w:val="正文文本缩进 31"/>
    <w:basedOn w:val="1"/>
    <w:link w:val="19"/>
    <w:qFormat/>
    <w:uiPriority w:val="0"/>
    <w:pPr>
      <w:widowControl w:val="0"/>
      <w:adjustRightInd/>
      <w:snapToGrid/>
      <w:spacing w:after="0"/>
      <w:ind w:left="420" w:leftChars="200"/>
      <w:jc w:val="both"/>
    </w:pPr>
    <w:rPr>
      <w:rFonts w:ascii="Calibri" w:hAnsi="Calibri" w:eastAsia="仿宋_GB2312" w:cs="Times New Roman"/>
      <w:kern w:val="2"/>
      <w:sz w:val="16"/>
      <w:szCs w:val="16"/>
    </w:rPr>
  </w:style>
  <w:style w:type="character" w:customStyle="1" w:styleId="19">
    <w:name w:val="Body Text Indent 3 Char"/>
    <w:link w:val="18"/>
    <w:qFormat/>
    <w:uiPriority w:val="0"/>
    <w:rPr>
      <w:rFonts w:ascii="Calibri" w:hAnsi="Calibri" w:eastAsia="仿宋_GB2312" w:cs="Times New Roman"/>
      <w:kern w:val="2"/>
      <w:sz w:val="16"/>
      <w:szCs w:val="16"/>
    </w:rPr>
  </w:style>
  <w:style w:type="character" w:customStyle="1" w:styleId="20">
    <w:name w:val="正文文本缩进 Char"/>
    <w:link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1524</Words>
  <Characters>1681</Characters>
  <Lines>0</Lines>
  <Paragraphs>0</Paragraphs>
  <TotalTime>2</TotalTime>
  <ScaleCrop>false</ScaleCrop>
  <LinksUpToDate>false</LinksUpToDate>
  <CharactersWithSpaces>1685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2025-09-08T03:05:00Z</dcterms:created>
  <dc:creator>Administrator</dc:creator>
  <cp:lastModifiedBy>AI空白格</cp:lastModifiedBy>
  <cp:lastPrinted>2025-10-22T02:15:00Z</cp:lastPrinted>
  <dcterms:modified xsi:type="dcterms:W3CDTF">2025-12-22T08:02:33Z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eyJoZGlkIjoiMTAxMzZkZDFkMjBkMWU3ZWFkYjg3ZDQ0NDhjMDAwODAiLCJ1c2VySWQiOiI0OTU3MjI3ODAifQ==</vt:lpwstr>
  </property>
  <property fmtid="{D5CDD505-2E9C-101B-9397-08002B2CF9AE}" pid="4" name="ICV">
    <vt:lpwstr>A8BCD29BE3214CF0AAEE0BFABD644ACB_12</vt:lpwstr>
  </property>
</Properties>
</file>