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168" w:type="dxa"/>
        <w:jc w:val="center"/>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52"/>
        <w:gridCol w:w="3253"/>
        <w:gridCol w:w="1153"/>
        <w:gridCol w:w="2426"/>
        <w:gridCol w:w="2184"/>
      </w:tblGrid>
      <w:tr w14:paraId="20A9F7F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tblHeader/>
          <w:jc w:val="center"/>
        </w:trPr>
        <w:tc>
          <w:tcPr>
            <w:tcW w:w="1152" w:type="dxa"/>
            <w:tcBorders>
              <w:top w:val="single" w:color="auto" w:sz="12" w:space="0"/>
              <w:left w:val="single" w:color="auto" w:sz="12" w:space="0"/>
              <w:bottom w:val="single" w:color="auto" w:sz="4" w:space="0"/>
              <w:right w:val="single" w:color="auto" w:sz="4" w:space="0"/>
            </w:tcBorders>
            <w:shd w:val="clear" w:color="auto" w:fill="F2F2F2"/>
            <w:tcMar>
              <w:top w:w="180" w:type="dxa"/>
              <w:left w:w="270" w:type="dxa"/>
              <w:bottom w:w="180" w:type="dxa"/>
              <w:right w:w="270" w:type="dxa"/>
            </w:tcMar>
            <w:vAlign w:val="center"/>
          </w:tcPr>
          <w:p w14:paraId="3C40A16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color w:val="000000"/>
                <w:spacing w:val="0"/>
                <w:kern w:val="0"/>
                <w:sz w:val="24"/>
                <w:szCs w:val="24"/>
                <w:bdr w:val="none" w:color="auto" w:sz="0" w:space="0"/>
                <w:lang w:val="en-US" w:eastAsia="zh-CN" w:bidi="ar"/>
              </w:rPr>
              <w:t>序号</w:t>
            </w:r>
          </w:p>
        </w:tc>
        <w:tc>
          <w:tcPr>
            <w:tcW w:w="3253" w:type="dxa"/>
            <w:tcBorders>
              <w:top w:val="single" w:color="auto" w:sz="12" w:space="0"/>
              <w:left w:val="single" w:color="auto" w:sz="4" w:space="0"/>
              <w:bottom w:val="single" w:color="auto" w:sz="4" w:space="0"/>
              <w:right w:val="single" w:color="auto" w:sz="4" w:space="0"/>
            </w:tcBorders>
            <w:shd w:val="clear" w:color="auto" w:fill="F2F2F2"/>
            <w:tcMar>
              <w:top w:w="180" w:type="dxa"/>
              <w:left w:w="270" w:type="dxa"/>
              <w:bottom w:w="180" w:type="dxa"/>
              <w:right w:w="270" w:type="dxa"/>
            </w:tcMar>
            <w:vAlign w:val="center"/>
          </w:tcPr>
          <w:p w14:paraId="1AD9453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color w:val="000000"/>
                <w:spacing w:val="0"/>
                <w:kern w:val="0"/>
                <w:sz w:val="24"/>
                <w:szCs w:val="24"/>
                <w:bdr w:val="none" w:color="auto" w:sz="0" w:space="0"/>
                <w:lang w:val="en-US" w:eastAsia="zh-CN" w:bidi="ar"/>
              </w:rPr>
              <w:t>事项名称</w:t>
            </w:r>
          </w:p>
        </w:tc>
        <w:tc>
          <w:tcPr>
            <w:tcW w:w="1153" w:type="dxa"/>
            <w:tcBorders>
              <w:top w:val="single" w:color="auto" w:sz="12" w:space="0"/>
              <w:left w:val="single" w:color="auto" w:sz="4" w:space="0"/>
              <w:bottom w:val="single" w:color="auto" w:sz="4" w:space="0"/>
              <w:right w:val="single" w:color="auto" w:sz="4" w:space="0"/>
            </w:tcBorders>
            <w:shd w:val="clear" w:color="auto" w:fill="F2F2F2"/>
            <w:tcMar>
              <w:top w:w="180" w:type="dxa"/>
              <w:left w:w="270" w:type="dxa"/>
              <w:bottom w:w="180" w:type="dxa"/>
              <w:right w:w="270" w:type="dxa"/>
            </w:tcMar>
            <w:vAlign w:val="center"/>
          </w:tcPr>
          <w:p w14:paraId="4E794E5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color w:val="000000"/>
                <w:spacing w:val="0"/>
                <w:kern w:val="0"/>
                <w:sz w:val="24"/>
                <w:szCs w:val="24"/>
                <w:bdr w:val="none" w:color="auto" w:sz="0" w:space="0"/>
                <w:lang w:val="en-US" w:eastAsia="zh-CN" w:bidi="ar"/>
              </w:rPr>
              <w:t>执法领域</w:t>
            </w:r>
          </w:p>
        </w:tc>
        <w:tc>
          <w:tcPr>
            <w:tcW w:w="2426" w:type="dxa"/>
            <w:tcBorders>
              <w:top w:val="single" w:color="auto" w:sz="12" w:space="0"/>
              <w:left w:val="single" w:color="auto" w:sz="4" w:space="0"/>
              <w:bottom w:val="single" w:color="auto" w:sz="4" w:space="0"/>
              <w:right w:val="single" w:color="auto" w:sz="4" w:space="0"/>
            </w:tcBorders>
            <w:shd w:val="clear" w:color="auto" w:fill="F2F2F2"/>
            <w:tcMar>
              <w:top w:w="180" w:type="dxa"/>
              <w:left w:w="270" w:type="dxa"/>
              <w:bottom w:w="180" w:type="dxa"/>
              <w:right w:w="270" w:type="dxa"/>
            </w:tcMar>
            <w:vAlign w:val="center"/>
          </w:tcPr>
          <w:p w14:paraId="5A2B4BE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color w:val="000000"/>
                <w:spacing w:val="0"/>
                <w:kern w:val="0"/>
                <w:sz w:val="24"/>
                <w:szCs w:val="24"/>
                <w:bdr w:val="none" w:color="auto" w:sz="0" w:space="0"/>
                <w:lang w:val="en-US" w:eastAsia="zh-CN" w:bidi="ar"/>
              </w:rPr>
              <w:t>实施依据</w:t>
            </w:r>
          </w:p>
        </w:tc>
        <w:tc>
          <w:tcPr>
            <w:tcW w:w="2184" w:type="dxa"/>
            <w:tcBorders>
              <w:top w:val="single" w:color="auto" w:sz="12" w:space="0"/>
              <w:left w:val="single" w:color="auto" w:sz="4" w:space="0"/>
              <w:bottom w:val="single" w:color="auto" w:sz="4" w:space="0"/>
              <w:right w:val="single" w:color="auto" w:sz="12" w:space="0"/>
            </w:tcBorders>
            <w:shd w:val="clear" w:color="auto" w:fill="F2F2F2"/>
            <w:tcMar>
              <w:top w:w="180" w:type="dxa"/>
              <w:left w:w="270" w:type="dxa"/>
              <w:bottom w:w="180" w:type="dxa"/>
              <w:right w:w="270" w:type="dxa"/>
            </w:tcMar>
            <w:vAlign w:val="center"/>
          </w:tcPr>
          <w:p w14:paraId="298EE0B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color w:val="000000"/>
                <w:spacing w:val="0"/>
                <w:kern w:val="0"/>
                <w:sz w:val="24"/>
                <w:szCs w:val="24"/>
                <w:bdr w:val="none" w:color="auto" w:sz="0" w:space="0"/>
                <w:lang w:val="en-US" w:eastAsia="zh-CN" w:bidi="ar"/>
              </w:rPr>
              <w:t>行使范围</w:t>
            </w:r>
          </w:p>
        </w:tc>
      </w:tr>
      <w:tr w14:paraId="75588AE3">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14F923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949504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对擅自占用、挖掘公路的行政处罚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A46C35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4C759EE">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《中华人民共和国公路法》：第四十四条第一款、第七十六条第一项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1A09B87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乡道</w:t>
            </w:r>
          </w:p>
        </w:tc>
      </w:tr>
      <w:tr w14:paraId="43108999">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21DF7A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8EB840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对铁轮车、履带车和其他可能损害路面的机具擅自在公路上行驶的行政处罚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0E02AE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DD99470">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《中华人民共和国公路法》：第四十八条、第七十六条第四项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4CB2404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乡道</w:t>
            </w:r>
          </w:p>
        </w:tc>
      </w:tr>
      <w:tr w14:paraId="1EB7E5A5">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057C7D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3</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3A8D14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对损坏、移动、涂改公路附属设施或者损坏、挪动建筑控制区的标桩、界桩，可能危及公路安全的行政处罚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4CB1D6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27C21A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《中华人民共和国公路法》：第五十二条、第五十六条第三款、第七十六条第六项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49831FF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乡道</w:t>
            </w:r>
          </w:p>
        </w:tc>
      </w:tr>
      <w:tr w14:paraId="476778AE">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70DBFB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4</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2AD42B9">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对在公路上及公路用地范围内摆摊设点、堆放物品、倾倒垃圾、设置障碍、挖沟引水、利用公路边沟排放污物或者进行其他损坏、污染公路和影响公路畅通的活动的行政处罚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31E19C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EAF62C3">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 《中华人民共和国公路法》：第四十六条、第七十七条2. 《河南省农村公路条例》：第四十一条、第五十五条</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6223318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乡道、村道</w:t>
            </w:r>
          </w:p>
        </w:tc>
      </w:tr>
      <w:tr w14:paraId="5BBDCF20">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0EEAF8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5</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1DCCE50">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对造成公路损坏未报告的行政处罚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FA0DBB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8EE3823">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《中华人民共和国公路法》：第五十三条、第七十八条</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02AC3BB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乡道</w:t>
            </w:r>
          </w:p>
        </w:tc>
      </w:tr>
      <w:tr w14:paraId="3BECAFC2">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8CA33C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6</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B54E16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对未经批准在公路上增设平面交叉道口的行政处罚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D7BE4D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3590319">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《中华人民共和国公路法》：第五十五条、第八十条</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230B3DA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乡道</w:t>
            </w:r>
          </w:p>
        </w:tc>
      </w:tr>
      <w:tr w14:paraId="6CD7AF3F">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BBBB67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7</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C09422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对在公路建筑控制区内修建建筑物、地面构筑物或者擅自埋设管线、电缆等设施的行政处罚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E1EDA0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56A343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《中华人民共和国公路法》：第五十六条第一款、第八十一条</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6758E48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乡道</w:t>
            </w:r>
          </w:p>
        </w:tc>
      </w:tr>
      <w:tr w14:paraId="2429151A">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F4E47A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8</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29C1F6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对在公路建筑控制区外修建的建筑物、地面构筑物以及其他设施遮挡公路标志或者妨碍安全视距的行政处罚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AE0C23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E6F1FD3">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《公路安全保护条例》（国务院令第 593 号）：第十三条第二款、第五十六条第二项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4826534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乡道</w:t>
            </w:r>
          </w:p>
        </w:tc>
      </w:tr>
      <w:tr w14:paraId="73D98E6F">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350B4B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9</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CB95AE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对涉路工程设施影响公路完好、安全和畅通的行政处罚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C21574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C33226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《公路安全保护条例》（国务院令第 593 号）：第二十九条第三款、第六十条第二项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18AAFC0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乡道</w:t>
            </w:r>
          </w:p>
        </w:tc>
      </w:tr>
      <w:tr w14:paraId="5C4583C6">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F4633F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10</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2918C54">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对擅自占用、挖掘村道的行政处罚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EC0E0F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32739B9">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《河南省农村公路条例》：第三十九条第一款、第五十三条第一项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2A26921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无</w:t>
            </w:r>
          </w:p>
        </w:tc>
      </w:tr>
      <w:tr w14:paraId="67AD633A">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877B8E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11</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16916EE">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对铁轮车、履带车和其他可能损害公路路面的机具或者车辆擅自在村道上行驶的行政处罚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9D77DF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C040E4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《河南省农村公路条例》：第四十五条、第五十三条第四项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67DC407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无</w:t>
            </w:r>
          </w:p>
        </w:tc>
      </w:tr>
      <w:tr w14:paraId="4474E0E2">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DBE876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12</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562AD03">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对损坏或者擅自移动、涂改村道附属设施和标志的行政处罚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35DB5D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8D067DA">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《河南省农村公路条例》：第四十六条第一款、第五十三条第六项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597095D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无</w:t>
            </w:r>
          </w:p>
        </w:tc>
      </w:tr>
      <w:tr w14:paraId="4FD396CD">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5B0EDC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13</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230E2A9">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对在村道公路建筑控制区内修建建筑物、构筑物或者擅自架设、埋设管线、电缆等设施的行政处罚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4F887E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交通运输</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D514D65">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《河南省农村公路条例》：第四十三条、第五十四条第一款</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77BDE26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无</w:t>
            </w:r>
          </w:p>
        </w:tc>
      </w:tr>
      <w:tr w14:paraId="4BE57FD4">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55D503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14</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C79B68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对在农村集中供水管道上直接装泵抽水的行政处罚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8ECD63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水利</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8412F8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《河南省农村供水管理办法》（省政府令第 223 号）：第十七条、第三十七条第一项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4E7E6B7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无</w:t>
            </w:r>
          </w:p>
        </w:tc>
      </w:tr>
      <w:tr w14:paraId="2A7D67BE">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65484A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15</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49A43F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对生产或者使用有毒、有害物质的单位将其生产、使用的用水管网与农村供水管网系统直接连接的行政处罚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525A89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水利</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C0E6E5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《河南省农村供水管理办法》（省政府令第 223 号）：第十七条、第三十七条第二项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16E3DD0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无</w:t>
            </w:r>
          </w:p>
        </w:tc>
      </w:tr>
      <w:tr w14:paraId="7546FDC2">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73587E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16</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CA5928D">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对移动、喷涂、覆盖、损坏农村供水工程界桩、公告牌等标识的行政处罚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DA27D7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水利</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6BB611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《河南省农村供水管理办法》（省政府令第 223 号）：第十五条、第三十七条第三项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7923BA0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无</w:t>
            </w:r>
          </w:p>
        </w:tc>
      </w:tr>
      <w:tr w14:paraId="44D65EDA">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6D8E12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17</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FAC245E">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对露天焚烧秸秆的行政处罚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807DEF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农业农村</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2CB77C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《河南省大气污染防治条例》：第五十四条第二款、第八十条</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01D017D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无</w:t>
            </w:r>
          </w:p>
        </w:tc>
      </w:tr>
      <w:tr w14:paraId="04E5EA5A">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21F1E1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18</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2AAA61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对消防设施、器材或者消防安全标志的配置、设置不符合国家标准、行业标准，或者未保持完好有效的行政处罚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776BB8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8C7EF0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《中华人民共和国消防法》：第十六条第一款第二项、第六十条第一款第一项、第六十七条</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3D8A8CE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年版），不含伊滨区</w:t>
            </w:r>
          </w:p>
        </w:tc>
      </w:tr>
      <w:tr w14:paraId="2500E96C">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707E94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19</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BCE46EE">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对损坏、挪用或者擅自拆除、停用消防设施、器材的行政处罚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6D8655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DC138B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《中华人民共和国消防法》：第二十八条、第六十条第一款第二项、第六十条第二款</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21CF294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年版），不含伊滨区</w:t>
            </w:r>
          </w:p>
        </w:tc>
      </w:tr>
      <w:tr w14:paraId="424B6A06">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DD757A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20</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ACB7EB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对占用、堵塞、封闭疏散通道、安全出口或者有其他妨碍安全疏散行为的行政处罚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8F75FD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2D7344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《中华人民共和国消防法》：第十六条第一款第四项、第二十八条、第六十条第一款第三项、第六十条第二款、第六十七条</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730868A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650579C8">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BACF5D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21</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E05A1E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对占用、堵塞、封闭消防车通道，妨碍消防车通行的行政处罚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60B48E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F859C64">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《中华人民共和国消防法》：第十六条第一款第四项、第二十八条、第六十条第一款第五项、第六十条第二款、第六十七条</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17DC09F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11302DA1">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5C574F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22</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2250395">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对人员密集场所在门窗上设置影响逃生和灭火救援的障碍物的行政处罚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4EFBBB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7CF2E0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《中华人民共和国消防法》：第二十八条、第六十条第一款第六项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7AFF232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2AB67136">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869783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23</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0696635">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对违反规定使用明火作业或者在具有火灾、爆炸危险的场所吸烟、使用明火的行政处罚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CF77F2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846E4A4">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《中华人民共和国消防法》：第二十一条第一款、第六十三条第二项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5CE3699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34E5CAEC">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465FBB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24</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79AFA73">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对未依法建立消防组织，进行有针对性的消防演练的行政处罚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635744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E818AA0">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《河南省消防条例》：第十三条第一款第六项、第七十条第二款</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5850D1C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15311E7B">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E12C51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25</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51A5ECE">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对未开展消防宣传教育培训的行政处罚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9DFAA4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AF85D6D">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《河南省消防条例》：第十三条第一款第七项、第七十条第二款</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07DE70D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36F3496A">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787843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26</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AB7130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对在居住建筑物的公共走道、楼梯间、门厅内为电动自行车、电动三轮车充电，在城市建成区燃放孔明灯等携带明火且不可控制的空中飘移物的行政处罚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07D638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73AAD6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《河南省消防条例》：第十七条第二款、第三十四条第二款、第七十一条</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19CFD39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0F03DD14">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0962FF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27</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C269DF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对人员密集场所的安全出口、疏散通道使用影响疏散的镜面材料的行政处罚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760735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75ED1FB">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《河南省消防条例》：第三十二条、第七十二条第二项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6C00184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6E92BE0A">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679D20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28</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5B9823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对在具有火灾危险的车间、商场、集贸市场、仓库和公共娱乐场所内设置员工宿舍的行政处</w:t>
            </w:r>
            <w:bookmarkStart w:id="0" w:name="_GoBack"/>
            <w:bookmarkEnd w:id="0"/>
            <w:r>
              <w:rPr>
                <w:rFonts w:hint="default" w:ascii="Segoe UI" w:hAnsi="Segoe UI" w:eastAsia="Segoe UI" w:cs="Segoe UI"/>
                <w:i w:val="0"/>
                <w:iCs w:val="0"/>
                <w:caps w:val="0"/>
                <w:color w:val="000000"/>
                <w:spacing w:val="0"/>
                <w:kern w:val="0"/>
                <w:sz w:val="24"/>
                <w:szCs w:val="24"/>
                <w:bdr w:val="none" w:color="auto" w:sz="0" w:space="0"/>
                <w:lang w:val="en-US" w:eastAsia="zh-CN" w:bidi="ar"/>
              </w:rPr>
              <w:t>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EDCFA8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5BF07A9">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《河南省消防条例》：第三十六条第二款、第七十二条第四项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49D27B4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32675851">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FE5D32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29</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4A96389">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对未设置外墙外保温材料提示性和警示性标识，或者未及时修复破损、开裂和脱落的外墙外保温系统的行政处罚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8DD365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0A22AC2">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《高层民用建筑消防安全管理规定》（应急管理部令第 5 号）：第十九条第一款、第四十七条第三项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2C57302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6C2556C7">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878852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30</w:t>
            </w:r>
          </w:p>
        </w:tc>
        <w:tc>
          <w:tcPr>
            <w:tcW w:w="32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E8AE74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对未按照规定落实消防控制室值班制度，或者安排不具备相应条件的人员值班的行政处罚</w:t>
            </w:r>
          </w:p>
        </w:tc>
        <w:tc>
          <w:tcPr>
            <w:tcW w:w="115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8EF340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D1D5172">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《高层民用建筑消防安全管理规定》（应急管理部令第 5 号）：第二十六条第一款及第二款、第四十七条第四项</w:t>
            </w:r>
          </w:p>
        </w:tc>
        <w:tc>
          <w:tcPr>
            <w:tcW w:w="2184" w:type="dxa"/>
            <w:tcBorders>
              <w:top w:val="single" w:color="auto" w:sz="4" w:space="0"/>
              <w:left w:val="single" w:color="auto" w:sz="4" w:space="0"/>
              <w:bottom w:val="single" w:color="auto" w:sz="4" w:space="0"/>
              <w:right w:val="single" w:color="auto" w:sz="12" w:space="0"/>
            </w:tcBorders>
            <w:shd w:val="clear" w:color="auto" w:fill="FFFFFF"/>
            <w:tcMar>
              <w:top w:w="180" w:type="dxa"/>
              <w:left w:w="270" w:type="dxa"/>
              <w:bottom w:w="180" w:type="dxa"/>
              <w:right w:w="270" w:type="dxa"/>
            </w:tcMar>
            <w:vAlign w:val="center"/>
          </w:tcPr>
          <w:p w14:paraId="2909B5B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r w14:paraId="181E149F">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1152" w:type="dxa"/>
            <w:tcBorders>
              <w:top w:val="single" w:color="auto" w:sz="4" w:space="0"/>
              <w:left w:val="single" w:color="auto" w:sz="12" w:space="0"/>
              <w:bottom w:val="single" w:color="auto" w:sz="12" w:space="0"/>
              <w:right w:val="single" w:color="auto" w:sz="4" w:space="0"/>
            </w:tcBorders>
            <w:shd w:val="clear" w:color="auto" w:fill="FFFFFF"/>
            <w:tcMar>
              <w:top w:w="180" w:type="dxa"/>
              <w:left w:w="270" w:type="dxa"/>
              <w:bottom w:w="180" w:type="dxa"/>
              <w:right w:w="270" w:type="dxa"/>
            </w:tcMar>
            <w:vAlign w:val="center"/>
          </w:tcPr>
          <w:p w14:paraId="0EE337B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31</w:t>
            </w:r>
          </w:p>
        </w:tc>
        <w:tc>
          <w:tcPr>
            <w:tcW w:w="3253" w:type="dxa"/>
            <w:tcBorders>
              <w:top w:val="single" w:color="auto" w:sz="4" w:space="0"/>
              <w:left w:val="single" w:color="auto" w:sz="4" w:space="0"/>
              <w:bottom w:val="single" w:color="auto" w:sz="12" w:space="0"/>
              <w:right w:val="single" w:color="auto" w:sz="4" w:space="0"/>
            </w:tcBorders>
            <w:shd w:val="clear" w:color="auto" w:fill="FFFFFF"/>
            <w:tcMar>
              <w:top w:w="180" w:type="dxa"/>
              <w:left w:w="270" w:type="dxa"/>
              <w:bottom w:w="180" w:type="dxa"/>
              <w:right w:w="270" w:type="dxa"/>
            </w:tcMar>
            <w:vAlign w:val="center"/>
          </w:tcPr>
          <w:p w14:paraId="62F5AB64">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对在高层民用建筑公共门厅、疏散走道、楼梯间、安全出口停放电动自行车或者为电动自行车充电的行政处罚</w:t>
            </w:r>
          </w:p>
        </w:tc>
        <w:tc>
          <w:tcPr>
            <w:tcW w:w="1153" w:type="dxa"/>
            <w:tcBorders>
              <w:top w:val="single" w:color="auto" w:sz="4" w:space="0"/>
              <w:left w:val="single" w:color="auto" w:sz="4" w:space="0"/>
              <w:bottom w:val="single" w:color="auto" w:sz="12" w:space="0"/>
              <w:right w:val="single" w:color="auto" w:sz="4" w:space="0"/>
            </w:tcBorders>
            <w:shd w:val="clear" w:color="auto" w:fill="FFFFFF"/>
            <w:tcMar>
              <w:top w:w="180" w:type="dxa"/>
              <w:left w:w="270" w:type="dxa"/>
              <w:bottom w:w="180" w:type="dxa"/>
              <w:right w:w="270" w:type="dxa"/>
            </w:tcMar>
            <w:vAlign w:val="center"/>
          </w:tcPr>
          <w:p w14:paraId="3432708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消防救援</w:t>
            </w:r>
          </w:p>
        </w:tc>
        <w:tc>
          <w:tcPr>
            <w:tcW w:w="2426" w:type="dxa"/>
            <w:tcBorders>
              <w:top w:val="single" w:color="auto" w:sz="4" w:space="0"/>
              <w:left w:val="single" w:color="auto" w:sz="4" w:space="0"/>
              <w:bottom w:val="single" w:color="auto" w:sz="12" w:space="0"/>
              <w:right w:val="single" w:color="auto" w:sz="4" w:space="0"/>
            </w:tcBorders>
            <w:shd w:val="clear" w:color="auto" w:fill="FFFFFF"/>
            <w:tcMar>
              <w:top w:w="180" w:type="dxa"/>
              <w:left w:w="270" w:type="dxa"/>
              <w:bottom w:w="180" w:type="dxa"/>
              <w:right w:w="270" w:type="dxa"/>
            </w:tcMar>
            <w:vAlign w:val="center"/>
          </w:tcPr>
          <w:p w14:paraId="317634EE">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《高层民用建筑消防安全管理规定》（应急管理部令第 5 号）：第三十七条第一款、第四十七条第七项</w:t>
            </w:r>
          </w:p>
        </w:tc>
        <w:tc>
          <w:tcPr>
            <w:tcW w:w="2184" w:type="dxa"/>
            <w:tcBorders>
              <w:top w:val="single" w:color="auto" w:sz="4" w:space="0"/>
              <w:left w:val="single" w:color="auto" w:sz="4" w:space="0"/>
              <w:bottom w:val="single" w:color="auto" w:sz="12" w:space="0"/>
              <w:right w:val="single" w:color="auto" w:sz="12" w:space="0"/>
            </w:tcBorders>
            <w:shd w:val="clear" w:color="auto" w:fill="FFFFFF"/>
            <w:tcMar>
              <w:top w:w="180" w:type="dxa"/>
              <w:left w:w="270" w:type="dxa"/>
              <w:bottom w:w="180" w:type="dxa"/>
              <w:right w:w="270" w:type="dxa"/>
            </w:tcMar>
            <w:vAlign w:val="center"/>
          </w:tcPr>
          <w:p w14:paraId="642C531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bdr w:val="none" w:color="auto" w:sz="0" w:space="0"/>
                <w:lang w:val="en-US" w:eastAsia="zh-CN" w:bidi="ar"/>
              </w:rPr>
              <w:t>洛阳市在乡镇（街道）行使消防救援行政处罚权的适用范围（2025 年版）</w:t>
            </w:r>
          </w:p>
        </w:tc>
      </w:tr>
    </w:tbl>
    <w:p w14:paraId="0E487B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D5B31"/>
    <w:rsid w:val="3431732F"/>
    <w:rsid w:val="65BD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2025-12-04T02:16:00Z</dcterms:created>
  <dc:creator>qzuser</dc:creator>
  <cp:lastModifiedBy>qzuser</cp:lastModifiedBy>
  <dcterms:modified xsi:type="dcterms:W3CDTF">2025-12-04T02:31:15Z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A3C68D8350A348EB8811FBA875F0EB4B_11</vt:lpwstr>
  </property>
  <property fmtid="{D5CDD505-2E9C-101B-9397-08002B2CF9AE}" pid="4" name="KSOTemplateDocerSaveRecord">
    <vt:lpwstr>eyJoZGlkIjoiOTg2MjlmNTdjZjY5NzUwNmY1YTAxMjA0MWM2ZGQzZDEiLCJ1c2VySWQiOiIzMDQwNDIzNTMifQ==</vt:lpwstr>
  </property>
</Properties>
</file>