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F288">
      <w:pPr>
        <w:autoSpaceDE w:val="0"/>
        <w:spacing w:line="720" w:lineRule="exact"/>
        <w:jc w:val="center"/>
        <w:rPr>
          <w:rFonts w:hint="eastAsia" w:ascii="方正小标宋简体" w:eastAsia="方正小标宋简体"/>
          <w:sz w:val="44"/>
          <w:szCs w:val="44"/>
        </w:rPr>
      </w:pPr>
      <w:r>
        <w:rPr>
          <w:rFonts w:hint="eastAsia" w:ascii="方正小标宋简体" w:eastAsia="方正小标宋简体"/>
          <w:sz w:val="44"/>
          <w:szCs w:val="44"/>
        </w:rPr>
        <w:t>汝阳县推进学前教育普及普惠发展实施方案</w:t>
      </w:r>
    </w:p>
    <w:p w14:paraId="43FE313B">
      <w:pPr>
        <w:autoSpaceDE w:val="0"/>
        <w:autoSpaceDN w:val="0"/>
        <w:adjustRightInd w:val="0"/>
        <w:spacing w:line="580" w:lineRule="exact"/>
        <w:jc w:val="center"/>
        <w:rPr>
          <w:rFonts w:hint="eastAsia" w:ascii="楷体_GB2312" w:hAnsi="楷体_GB2312" w:eastAsia="楷体_GB2312" w:cs="楷体_GB2312"/>
          <w:bCs/>
          <w:spacing w:val="20"/>
          <w:sz w:val="32"/>
          <w:szCs w:val="32"/>
          <w:lang w:eastAsia="zh-CN"/>
        </w:rPr>
      </w:pPr>
      <w:r>
        <w:rPr>
          <w:rFonts w:hint="eastAsia" w:ascii="楷体_GB2312" w:hAnsi="楷体_GB2312" w:eastAsia="楷体_GB2312" w:cs="楷体_GB2312"/>
          <w:bCs/>
          <w:spacing w:val="20"/>
          <w:sz w:val="32"/>
          <w:szCs w:val="32"/>
          <w:lang w:eastAsia="zh-CN"/>
        </w:rPr>
        <w:t>（</w:t>
      </w:r>
      <w:r>
        <w:rPr>
          <w:rFonts w:hint="eastAsia" w:ascii="楷体_GB2312" w:hAnsi="楷体_GB2312" w:eastAsia="楷体_GB2312" w:cs="楷体_GB2312"/>
          <w:bCs/>
          <w:spacing w:val="20"/>
          <w:sz w:val="32"/>
          <w:szCs w:val="32"/>
          <w:lang w:val="en-US" w:eastAsia="zh-CN"/>
        </w:rPr>
        <w:t>征求意见稿</w:t>
      </w:r>
      <w:r>
        <w:rPr>
          <w:rFonts w:hint="eastAsia" w:ascii="楷体_GB2312" w:hAnsi="楷体_GB2312" w:eastAsia="楷体_GB2312" w:cs="楷体_GB2312"/>
          <w:bCs/>
          <w:spacing w:val="20"/>
          <w:sz w:val="32"/>
          <w:szCs w:val="32"/>
          <w:lang w:eastAsia="zh-CN"/>
        </w:rPr>
        <w:t>）</w:t>
      </w:r>
    </w:p>
    <w:p w14:paraId="6F6B2453">
      <w:pPr>
        <w:pStyle w:val="2"/>
        <w:rPr>
          <w:rFonts w:hint="eastAsia"/>
          <w:lang w:eastAsia="zh-CN"/>
        </w:rPr>
      </w:pPr>
    </w:p>
    <w:p w14:paraId="6FA6B5E6">
      <w:pPr>
        <w:autoSpaceDE w:val="0"/>
        <w:spacing w:line="592" w:lineRule="exact"/>
        <w:ind w:firstLine="640" w:firstLineChars="200"/>
        <w:rPr>
          <w:rFonts w:eastAsia="仿宋_GB2312"/>
          <w:sz w:val="32"/>
          <w:szCs w:val="32"/>
        </w:rPr>
      </w:pPr>
      <w:r>
        <w:rPr>
          <w:rFonts w:hint="eastAsia" w:ascii="仿宋_GB2312" w:hAnsi="Times New Roman" w:eastAsia="仿宋_GB2312"/>
          <w:sz w:val="32"/>
          <w:szCs w:val="32"/>
        </w:rPr>
        <w:t>为贯彻落实《河南省</w:t>
      </w:r>
      <w:r>
        <w:rPr>
          <w:rFonts w:hint="eastAsia" w:ascii="Times New Roman" w:hAnsi="Times New Roman" w:eastAsia="仿宋_GB2312"/>
          <w:sz w:val="32"/>
          <w:szCs w:val="32"/>
        </w:rPr>
        <w:t>“十四五”</w:t>
      </w:r>
      <w:r>
        <w:rPr>
          <w:rFonts w:hint="eastAsia" w:ascii="仿宋_GB2312" w:hAnsi="Times New Roman" w:eastAsia="仿宋_GB2312"/>
          <w:sz w:val="32"/>
          <w:szCs w:val="32"/>
        </w:rPr>
        <w:t>学前教育发展提升行动计划》（教基〔</w:t>
      </w:r>
      <w:r>
        <w:rPr>
          <w:rFonts w:ascii="Times New Roman" w:hAnsi="Times New Roman" w:eastAsia="仿宋_GB2312"/>
          <w:sz w:val="32"/>
          <w:szCs w:val="32"/>
        </w:rPr>
        <w:t>2021</w:t>
      </w:r>
      <w:r>
        <w:rPr>
          <w:rFonts w:hint="eastAsia" w:ascii="仿宋_GB2312" w:hAnsi="Times New Roman" w:eastAsia="仿宋_GB2312"/>
          <w:sz w:val="32"/>
          <w:szCs w:val="32"/>
        </w:rPr>
        <w:t>〕</w:t>
      </w:r>
      <w:r>
        <w:rPr>
          <w:rFonts w:ascii="Times New Roman" w:hAnsi="Times New Roman" w:eastAsia="仿宋_GB2312"/>
          <w:sz w:val="32"/>
          <w:szCs w:val="32"/>
        </w:rPr>
        <w:t>8</w:t>
      </w:r>
      <w:r>
        <w:rPr>
          <w:rFonts w:hint="eastAsia" w:ascii="仿宋_GB2312" w:hAnsi="Times New Roman" w:eastAsia="仿宋_GB2312"/>
          <w:sz w:val="32"/>
          <w:szCs w:val="32"/>
        </w:rPr>
        <w:t>号）文件精神，</w:t>
      </w:r>
      <w:r>
        <w:rPr>
          <w:rFonts w:hint="eastAsia" w:ascii="仿宋_GB2312" w:eastAsia="仿宋_GB2312"/>
          <w:sz w:val="32"/>
          <w:szCs w:val="32"/>
        </w:rPr>
        <w:t>按照</w:t>
      </w:r>
      <w:r>
        <w:rPr>
          <w:rFonts w:hint="eastAsia" w:ascii="仿宋_GB2312" w:hAnsi="Times New Roman" w:eastAsia="仿宋_GB2312"/>
          <w:sz w:val="32"/>
          <w:szCs w:val="32"/>
        </w:rPr>
        <w:t>河南省人民政府办公厅关于印发《河南省县域学前教育普及普惠督导评估实施方案的通知》（豫政办〔</w:t>
      </w:r>
      <w:r>
        <w:rPr>
          <w:rFonts w:ascii="Times New Roman" w:hAnsi="Times New Roman" w:eastAsia="仿宋_GB2312"/>
          <w:sz w:val="32"/>
          <w:szCs w:val="32"/>
        </w:rPr>
        <w:t>2021</w:t>
      </w:r>
      <w:r>
        <w:rPr>
          <w:rFonts w:hint="eastAsia" w:ascii="仿宋_GB2312" w:hAnsi="Times New Roman" w:eastAsia="仿宋_GB2312"/>
          <w:sz w:val="32"/>
          <w:szCs w:val="32"/>
        </w:rPr>
        <w:t>〕</w:t>
      </w:r>
      <w:r>
        <w:rPr>
          <w:rFonts w:ascii="Times New Roman" w:hAnsi="Times New Roman" w:eastAsia="仿宋_GB2312"/>
          <w:sz w:val="32"/>
          <w:szCs w:val="32"/>
        </w:rPr>
        <w:t>59</w:t>
      </w:r>
      <w:r>
        <w:rPr>
          <w:rFonts w:hint="eastAsia" w:ascii="仿宋_GB2312" w:hAnsi="Times New Roman" w:eastAsia="仿宋_GB2312"/>
          <w:sz w:val="32"/>
          <w:szCs w:val="32"/>
        </w:rPr>
        <w:t>号）</w:t>
      </w:r>
      <w:r>
        <w:rPr>
          <w:rFonts w:hint="eastAsia" w:ascii="仿宋_GB2312" w:hAnsi="Times New Roman" w:eastAsia="仿宋_GB2312"/>
          <w:sz w:val="32"/>
          <w:szCs w:val="32"/>
          <w:lang w:eastAsia="zh-CN"/>
        </w:rPr>
        <w:t>、</w:t>
      </w:r>
      <w:r>
        <w:rPr>
          <w:rFonts w:hint="eastAsia" w:ascii="仿宋_GB2312" w:eastAsia="仿宋_GB2312"/>
          <w:sz w:val="32"/>
          <w:szCs w:val="32"/>
        </w:rPr>
        <w:t>河南省教育厅办公室关于《扩充学前教育普惠性资源的通知》（教办基</w:t>
      </w:r>
      <w:r>
        <w:rPr>
          <w:rFonts w:hint="eastAsia" w:ascii="仿宋_GB2312" w:hAnsi="Times New Roman" w:eastAsia="仿宋_GB2312"/>
          <w:sz w:val="32"/>
          <w:szCs w:val="32"/>
        </w:rPr>
        <w:t>〔</w:t>
      </w:r>
      <w:r>
        <w:rPr>
          <w:rFonts w:ascii="Times New Roman" w:hAnsi="Times New Roman" w:eastAsia="仿宋_GB2312"/>
          <w:sz w:val="32"/>
          <w:szCs w:val="32"/>
        </w:rPr>
        <w:t>2025</w:t>
      </w:r>
      <w:r>
        <w:rPr>
          <w:rFonts w:hint="eastAsia" w:ascii="仿宋_GB2312" w:hAnsi="Times New Roman" w:eastAsia="仿宋_GB2312"/>
          <w:sz w:val="32"/>
          <w:szCs w:val="32"/>
        </w:rPr>
        <w:t>〕</w:t>
      </w:r>
      <w:r>
        <w:rPr>
          <w:rFonts w:ascii="Times New Roman" w:hAnsi="Times New Roman" w:eastAsia="仿宋_GB2312"/>
          <w:sz w:val="32"/>
          <w:szCs w:val="32"/>
        </w:rPr>
        <w:t>58</w:t>
      </w:r>
      <w:r>
        <w:rPr>
          <w:rFonts w:hint="eastAsia" w:ascii="仿宋_GB2312" w:hAnsi="Times New Roman" w:eastAsia="仿宋_GB2312"/>
          <w:sz w:val="32"/>
          <w:szCs w:val="32"/>
        </w:rPr>
        <w:t>号</w:t>
      </w:r>
      <w:r>
        <w:rPr>
          <w:rFonts w:hint="eastAsia" w:ascii="仿宋_GB2312" w:eastAsia="仿宋_GB2312"/>
          <w:sz w:val="32"/>
          <w:szCs w:val="32"/>
        </w:rPr>
        <w:t>）要求，结合我县学前教育实际情况，制定本实施方案。</w:t>
      </w:r>
    </w:p>
    <w:p w14:paraId="57FA0D61">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黑体" w:cs="Times New Roman"/>
          <w:sz w:val="32"/>
          <w:szCs w:val="32"/>
        </w:rPr>
      </w:pPr>
      <w:r>
        <w:rPr>
          <w:rFonts w:hint="eastAsia" w:ascii="黑体" w:hAnsi="黑体" w:eastAsia="黑体" w:cs="Times New Roman"/>
          <w:sz w:val="32"/>
          <w:szCs w:val="32"/>
        </w:rPr>
        <w:t>一、指导思想</w:t>
      </w:r>
    </w:p>
    <w:p w14:paraId="2363A56D">
      <w:pPr>
        <w:autoSpaceDE w:val="0"/>
        <w:spacing w:line="592" w:lineRule="exact"/>
        <w:ind w:firstLine="640" w:firstLineChars="200"/>
        <w:rPr>
          <w:rFonts w:eastAsia="仿宋_GB2312"/>
          <w:sz w:val="32"/>
          <w:szCs w:val="32"/>
        </w:rPr>
      </w:pPr>
      <w:r>
        <w:rPr>
          <w:rFonts w:hint="eastAsia" w:ascii="仿宋_GB2312" w:hAnsi="Times New Roman" w:eastAsia="仿宋_GB2312"/>
          <w:sz w:val="32"/>
          <w:szCs w:val="32"/>
        </w:rPr>
        <w:t>坚持以习近平新时代中国特色社会主义思想为指导，全面贯彻党的二十大精神、党的教育方针等，</w:t>
      </w:r>
      <w:r>
        <w:rPr>
          <w:rFonts w:hint="eastAsia" w:ascii="仿宋_GB2312" w:eastAsia="仿宋_GB2312"/>
          <w:sz w:val="32"/>
          <w:szCs w:val="32"/>
        </w:rPr>
        <w:t>以</w:t>
      </w:r>
      <w:r>
        <w:rPr>
          <w:rFonts w:hint="eastAsia" w:eastAsia="仿宋_GB2312"/>
          <w:sz w:val="32"/>
          <w:szCs w:val="32"/>
        </w:rPr>
        <w:t>“普及普惠、促进公平、提高质量”为核心，健全县域学前教育政府保障体系，优化学前教育资源配置，加大学前教育经费投入，规范幼儿园办园行为，提高学前教育保教质量，进一步扩大学前教育资源覆盖面，全面推进学前教育普及普惠安全优质发展，满足人民群众对幼有所育的美好期盼，切实提升人民群众获得感和满意度，为扎实开展学前教育普及普惠工作奠定坚实基础。</w:t>
      </w:r>
    </w:p>
    <w:p w14:paraId="081710AC">
      <w:pPr>
        <w:pStyle w:val="3"/>
        <w:autoSpaceDE w:val="0"/>
        <w:spacing w:line="592" w:lineRule="exact"/>
        <w:ind w:firstLine="640" w:firstLineChars="200"/>
        <w:rPr>
          <w:rFonts w:ascii="黑体" w:hAnsi="黑体" w:eastAsia="黑体" w:cs="Calibri"/>
          <w:sz w:val="32"/>
          <w:szCs w:val="32"/>
        </w:rPr>
      </w:pPr>
      <w:r>
        <w:rPr>
          <w:rFonts w:hint="eastAsia" w:ascii="黑体" w:hAnsi="黑体" w:eastAsia="黑体"/>
          <w:bCs/>
          <w:sz w:val="32"/>
          <w:szCs w:val="32"/>
        </w:rPr>
        <w:t>二、目标任务</w:t>
      </w:r>
    </w:p>
    <w:p w14:paraId="27AE0E82">
      <w:pPr>
        <w:overflowPunct w:val="0"/>
        <w:autoSpaceDE w:val="0"/>
        <w:adjustRightInd w:val="0"/>
        <w:snapToGrid w:val="0"/>
        <w:spacing w:line="592"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shd w:val="clear" w:color="auto" w:fill="FFFFFF"/>
        </w:rPr>
        <w:t>（一）学前资源普及普惠。</w:t>
      </w:r>
      <w:r>
        <w:rPr>
          <w:rFonts w:hint="eastAsia" w:ascii="仿宋_GB2312" w:eastAsia="仿宋_GB2312"/>
          <w:sz w:val="32"/>
          <w:szCs w:val="32"/>
        </w:rPr>
        <w:t>进一步提高学前教育普及普惠水平，增加公办园学位供给、提升普惠性幼儿园覆盖率。根据《洛阳市教育局关于学前教育普惠性资源建设情况的通知》要求，</w:t>
      </w:r>
      <w:r>
        <w:rPr>
          <w:rFonts w:ascii="Times New Roman" w:hAnsi="Times New Roman" w:eastAsia="仿宋_GB2312"/>
          <w:sz w:val="32"/>
          <w:szCs w:val="32"/>
        </w:rPr>
        <w:t>2025</w:t>
      </w:r>
      <w:r>
        <w:rPr>
          <w:rFonts w:hint="eastAsia" w:ascii="仿宋_GB2312" w:hAnsi="Times New Roman" w:eastAsia="仿宋_GB2312"/>
          <w:sz w:val="32"/>
          <w:szCs w:val="32"/>
        </w:rPr>
        <w:t>年底，我县公办园在园幼儿占比要达到</w:t>
      </w:r>
      <w:r>
        <w:rPr>
          <w:rFonts w:ascii="Times New Roman" w:hAnsi="Times New Roman" w:eastAsia="仿宋_GB2312"/>
          <w:sz w:val="32"/>
          <w:szCs w:val="32"/>
        </w:rPr>
        <w:t>50%</w:t>
      </w:r>
      <w:r>
        <w:rPr>
          <w:rFonts w:hint="eastAsia" w:ascii="仿宋_GB2312" w:hAnsi="Times New Roman" w:eastAsia="仿宋_GB2312"/>
          <w:sz w:val="32"/>
          <w:szCs w:val="32"/>
        </w:rPr>
        <w:t>以上，普惠性幼儿园覆盖率达到</w:t>
      </w:r>
      <w:r>
        <w:rPr>
          <w:rFonts w:ascii="Times New Roman" w:hAnsi="Times New Roman" w:eastAsia="仿宋_GB2312"/>
          <w:sz w:val="32"/>
          <w:szCs w:val="32"/>
        </w:rPr>
        <w:t>85%</w:t>
      </w:r>
      <w:r>
        <w:rPr>
          <w:rFonts w:hint="eastAsia" w:ascii="仿宋_GB2312" w:hAnsi="Times New Roman" w:eastAsia="仿宋_GB2312"/>
          <w:sz w:val="32"/>
          <w:szCs w:val="32"/>
        </w:rPr>
        <w:t>以上；</w:t>
      </w:r>
      <w:r>
        <w:rPr>
          <w:rFonts w:ascii="Times New Roman" w:hAnsi="Times New Roman" w:eastAsia="仿宋_GB2312"/>
          <w:sz w:val="32"/>
          <w:szCs w:val="32"/>
        </w:rPr>
        <w:t>2027</w:t>
      </w:r>
      <w:r>
        <w:rPr>
          <w:rFonts w:hint="eastAsia" w:ascii="仿宋_GB2312" w:hAnsi="Times New Roman" w:eastAsia="仿宋_GB2312"/>
          <w:sz w:val="32"/>
          <w:szCs w:val="32"/>
        </w:rPr>
        <w:t>年，公办园在园幼儿占比力争达到</w:t>
      </w:r>
      <w:r>
        <w:rPr>
          <w:rFonts w:ascii="Times New Roman" w:hAnsi="Times New Roman" w:eastAsia="仿宋_GB2312"/>
          <w:sz w:val="32"/>
          <w:szCs w:val="32"/>
        </w:rPr>
        <w:t>60%</w:t>
      </w:r>
      <w:r>
        <w:rPr>
          <w:rFonts w:hint="eastAsia" w:ascii="仿宋_GB2312" w:hAnsi="Times New Roman" w:eastAsia="仿宋_GB2312"/>
          <w:sz w:val="32"/>
          <w:szCs w:val="32"/>
        </w:rPr>
        <w:t>以上。</w:t>
      </w:r>
    </w:p>
    <w:p w14:paraId="09CE91E4">
      <w:pPr>
        <w:overflowPunct w:val="0"/>
        <w:autoSpaceDE w:val="0"/>
        <w:adjustRightInd w:val="0"/>
        <w:snapToGrid w:val="0"/>
        <w:spacing w:line="592"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shd w:val="clear" w:color="auto" w:fill="FFFFFF"/>
        </w:rPr>
        <w:t>（二）学前管理规范有序。</w:t>
      </w:r>
      <w:r>
        <w:rPr>
          <w:rFonts w:hint="eastAsia" w:ascii="仿宋_GB2312" w:hAnsi="Times New Roman" w:eastAsia="仿宋_GB2312"/>
          <w:sz w:val="32"/>
          <w:szCs w:val="32"/>
        </w:rPr>
        <w:t>坚持学前教育规范、普惠发展，完善规范化幼儿园办园标准，动态调整收费标准，落实师资配备标准和课程设置标准，落实公办幼儿园生均财政拨款基准定额和普惠性民办幼儿园奖补政策，促进学前教育规范普惠高质量发展。</w:t>
      </w:r>
    </w:p>
    <w:p w14:paraId="412482A8">
      <w:pPr>
        <w:pStyle w:val="2"/>
        <w:autoSpaceDE w:val="0"/>
        <w:spacing w:line="592" w:lineRule="exact"/>
        <w:ind w:firstLine="640" w:firstLineChars="200"/>
        <w:jc w:val="left"/>
        <w:rPr>
          <w:rFonts w:ascii="Times New Roman" w:hAnsi="Times New Roman" w:eastAsia="仿宋_GB2312"/>
          <w:sz w:val="32"/>
          <w:szCs w:val="32"/>
        </w:rPr>
      </w:pPr>
      <w:r>
        <w:rPr>
          <w:rFonts w:hint="eastAsia" w:ascii="楷体_GB2312" w:hAnsi="Times New Roman" w:eastAsia="楷体_GB2312"/>
          <w:sz w:val="32"/>
          <w:szCs w:val="32"/>
          <w:shd w:val="clear" w:color="auto" w:fill="FFFFFF"/>
        </w:rPr>
        <w:t>（三）学前质量持续提升。</w:t>
      </w:r>
      <w:r>
        <w:rPr>
          <w:rFonts w:hint="eastAsia" w:ascii="仿宋_GB2312" w:hAnsi="Times New Roman" w:eastAsia="仿宋_GB2312"/>
          <w:sz w:val="32"/>
          <w:szCs w:val="32"/>
        </w:rPr>
        <w:t>深化幼儿园教育改革，坚持以游戏为基本活动，推进科学保教，实现科学有效的</w:t>
      </w:r>
      <w:r>
        <w:rPr>
          <w:rFonts w:hint="eastAsia" w:ascii="Times New Roman" w:hAnsi="Times New Roman" w:eastAsia="仿宋_GB2312"/>
          <w:sz w:val="32"/>
          <w:szCs w:val="32"/>
        </w:rPr>
        <w:t>“幼小衔接”。强化教研服务，促进教师专业成长和保育教育实践。健全保教质量评估体系，发挥评估导向作用，提高教师素质和能力。完善动态监管机制，加强幼儿园办园条件、师资、安全、收费、卫生、教育、财务等方面的监管</w:t>
      </w:r>
      <w:r>
        <w:rPr>
          <w:rFonts w:hint="eastAsia" w:ascii="仿宋_GB2312" w:hAnsi="Times New Roman" w:eastAsia="仿宋_GB2312"/>
          <w:sz w:val="32"/>
          <w:szCs w:val="32"/>
        </w:rPr>
        <w:t>，促进学前教育高质量发展。</w:t>
      </w:r>
    </w:p>
    <w:p w14:paraId="14D4968B">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黑体" w:cs="Times New Roman"/>
          <w:sz w:val="32"/>
          <w:szCs w:val="32"/>
        </w:rPr>
      </w:pPr>
      <w:r>
        <w:rPr>
          <w:rFonts w:hint="eastAsia" w:ascii="黑体" w:hAnsi="黑体" w:eastAsia="黑体" w:cs="Times New Roman"/>
          <w:sz w:val="32"/>
          <w:szCs w:val="32"/>
        </w:rPr>
        <w:t>三、重点任务</w:t>
      </w:r>
    </w:p>
    <w:p w14:paraId="14F89C45">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楷体_GB2312" w:eastAsia="楷体_GB2312"/>
          <w:sz w:val="32"/>
          <w:szCs w:val="32"/>
        </w:rPr>
      </w:pPr>
      <w:r>
        <w:rPr>
          <w:rFonts w:hint="eastAsia" w:ascii="楷体_GB2312" w:eastAsia="楷体_GB2312"/>
          <w:sz w:val="32"/>
          <w:szCs w:val="32"/>
        </w:rPr>
        <w:t>（一）扩充普惠性学前教育资源</w:t>
      </w:r>
    </w:p>
    <w:p w14:paraId="5EEAC148">
      <w:pPr>
        <w:widowControl/>
        <w:autoSpaceDE w:val="0"/>
        <w:spacing w:line="592" w:lineRule="exact"/>
        <w:ind w:firstLine="643" w:firstLineChars="200"/>
        <w:rPr>
          <w:rFonts w:ascii="Times New Roman" w:hAnsi="Times New Roman" w:eastAsia="楷体_GB2312"/>
          <w:kern w:val="0"/>
          <w:sz w:val="32"/>
          <w:szCs w:val="32"/>
        </w:rPr>
      </w:pPr>
      <w:r>
        <w:rPr>
          <w:rFonts w:ascii="Times New Roman" w:hAnsi="Times New Roman" w:eastAsia="仿宋_GB2312"/>
          <w:b/>
          <w:bCs/>
          <w:sz w:val="32"/>
          <w:szCs w:val="32"/>
          <w:shd w:val="clear" w:color="auto" w:fill="FFFFFF"/>
        </w:rPr>
        <w:t>1.</w:t>
      </w:r>
      <w:r>
        <w:rPr>
          <w:rFonts w:hint="eastAsia" w:ascii="仿宋_GB2312" w:hAnsi="Times New Roman" w:eastAsia="仿宋_GB2312"/>
          <w:b/>
          <w:bCs/>
          <w:sz w:val="32"/>
          <w:szCs w:val="32"/>
          <w:shd w:val="clear" w:color="auto" w:fill="FFFFFF"/>
        </w:rPr>
        <w:t>科学规划学前教育资源布局。</w:t>
      </w:r>
      <w:r>
        <w:rPr>
          <w:rFonts w:hint="eastAsia" w:ascii="仿宋_GB2312" w:hAnsi="Times New Roman" w:eastAsia="仿宋_GB2312"/>
          <w:sz w:val="32"/>
          <w:szCs w:val="32"/>
        </w:rPr>
        <w:t>综合考虑人口流动和城镇化发展趋势，科学测算学位需求，把普惠性幼儿园建设纳入城乡公共管理和公共服务设施统一规划，优化学前教育资源配置，办好与人口规模相适应的规范化普惠性幼儿园，城区至少举办</w:t>
      </w:r>
      <w:r>
        <w:rPr>
          <w:rFonts w:ascii="Times New Roman" w:hAnsi="Times New Roman" w:eastAsia="仿宋_GB2312"/>
          <w:sz w:val="32"/>
          <w:szCs w:val="32"/>
        </w:rPr>
        <w:t>5</w:t>
      </w:r>
      <w:r>
        <w:rPr>
          <w:rFonts w:hint="eastAsia" w:ascii="仿宋_GB2312" w:hAnsi="Times New Roman" w:eastAsia="仿宋_GB2312"/>
          <w:sz w:val="32"/>
          <w:szCs w:val="32"/>
        </w:rPr>
        <w:t>所标准化政府办公办幼儿园，每个乡镇至少举办</w:t>
      </w:r>
      <w:r>
        <w:rPr>
          <w:rFonts w:ascii="Times New Roman" w:hAnsi="Times New Roman" w:eastAsia="仿宋_GB2312"/>
          <w:sz w:val="32"/>
          <w:szCs w:val="32"/>
        </w:rPr>
        <w:t>1—2</w:t>
      </w:r>
      <w:r>
        <w:rPr>
          <w:rFonts w:hint="eastAsia" w:ascii="仿宋_GB2312" w:hAnsi="Times New Roman" w:eastAsia="仿宋_GB2312"/>
          <w:sz w:val="32"/>
          <w:szCs w:val="32"/>
        </w:rPr>
        <w:t>所标准化乡镇中心公办幼儿园。</w:t>
      </w:r>
      <w:r>
        <w:rPr>
          <w:rFonts w:hint="eastAsia" w:ascii="仿宋_GB2312" w:eastAsia="仿宋_GB2312"/>
          <w:kern w:val="0"/>
          <w:sz w:val="32"/>
          <w:szCs w:val="32"/>
        </w:rPr>
        <w:t>农村小学附属幼儿班按照河南省幼儿园办园标准具备独立办园条件的，应当实行独立办园。</w:t>
      </w:r>
      <w:r>
        <w:rPr>
          <w:rFonts w:hint="eastAsia" w:ascii="仿宋_GB2312" w:hAnsi="Times New Roman" w:eastAsia="仿宋_GB2312"/>
          <w:sz w:val="32"/>
          <w:szCs w:val="32"/>
        </w:rPr>
        <w:t>实行公办幼儿园和普惠性民办幼儿园属地管理、划片招生，确保适龄儿童就近入园、应入尽入。</w:t>
      </w:r>
      <w:r>
        <w:rPr>
          <w:rFonts w:hint="eastAsia" w:ascii="仿宋_GB2312" w:eastAsia="仿宋_GB2312"/>
          <w:kern w:val="0"/>
          <w:sz w:val="32"/>
          <w:szCs w:val="32"/>
        </w:rPr>
        <w:t>（责任单位：教体局、自然资源局，各乡镇）</w:t>
      </w:r>
    </w:p>
    <w:p w14:paraId="5A86A5C8">
      <w:pPr>
        <w:pStyle w:val="36"/>
        <w:widowControl w:val="0"/>
        <w:overflowPunct w:val="0"/>
        <w:autoSpaceDE w:val="0"/>
        <w:spacing w:before="0" w:beforeAutospacing="0" w:after="0" w:afterAutospacing="0" w:line="592"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shd w:val="clear" w:color="auto" w:fill="FFFFFF"/>
        </w:rPr>
        <w:t>2.</w:t>
      </w:r>
      <w:r>
        <w:rPr>
          <w:rFonts w:hint="eastAsia" w:ascii="仿宋_GB2312" w:hAnsi="Times New Roman" w:eastAsia="仿宋_GB2312" w:cs="Times New Roman"/>
          <w:b/>
          <w:bCs/>
          <w:sz w:val="32"/>
          <w:szCs w:val="32"/>
          <w:shd w:val="clear" w:color="auto" w:fill="FFFFFF"/>
        </w:rPr>
        <w:t>加快公办幼儿园建设。</w:t>
      </w:r>
      <w:r>
        <w:rPr>
          <w:rFonts w:hint="eastAsia" w:ascii="仿宋_GB2312" w:hAnsi="Times New Roman" w:eastAsia="仿宋_GB2312" w:cs="Times New Roman"/>
          <w:sz w:val="32"/>
          <w:szCs w:val="32"/>
        </w:rPr>
        <w:t>充分利用地方政府专项债券资金，用好腾退搬迁的空置厂房、城乡公共服务设施、农村中小学闲置校舍，以租赁、租借、划转等形式举办公办幼儿园。鼓励优质公办示范幼儿园通过集团化办园和开设分园等形式扩大公办资源，支持有实力的村集体举办公办幼儿园并登记入册。（责任单位：编办、教体局、发改委、自然资源局、住建局、财政局，各乡镇）</w:t>
      </w:r>
    </w:p>
    <w:p w14:paraId="3EA76568">
      <w:pPr>
        <w:pStyle w:val="36"/>
        <w:widowControl w:val="0"/>
        <w:overflowPunct w:val="0"/>
        <w:autoSpaceDE w:val="0"/>
        <w:adjustRightInd w:val="0"/>
        <w:snapToGrid w:val="0"/>
        <w:spacing w:before="0" w:beforeAutospacing="0" w:after="0" w:afterAutospacing="0" w:line="592" w:lineRule="exact"/>
        <w:ind w:firstLine="643" w:firstLineChars="200"/>
        <w:jc w:val="both"/>
        <w:rPr>
          <w:rFonts w:ascii="Times New Roman" w:hAnsi="Times New Roman" w:eastAsia="仿宋_GB2312" w:cs="Times New Roman"/>
          <w:color w:val="000000"/>
          <w:sz w:val="31"/>
          <w:szCs w:val="31"/>
        </w:rPr>
      </w:pPr>
      <w:r>
        <w:rPr>
          <w:rFonts w:ascii="Times New Roman" w:hAnsi="Times New Roman" w:eastAsia="仿宋_GB2312" w:cs="Times New Roman"/>
          <w:b/>
          <w:bCs/>
          <w:sz w:val="32"/>
          <w:szCs w:val="32"/>
          <w:shd w:val="clear" w:color="auto" w:fill="FFFFFF"/>
        </w:rPr>
        <w:t>3.</w:t>
      </w:r>
      <w:r>
        <w:rPr>
          <w:rFonts w:hint="eastAsia" w:ascii="仿宋_GB2312" w:hAnsi="Times New Roman" w:eastAsia="仿宋_GB2312" w:cs="Times New Roman"/>
          <w:b/>
          <w:bCs/>
          <w:sz w:val="32"/>
          <w:szCs w:val="32"/>
          <w:shd w:val="clear" w:color="auto" w:fill="FFFFFF"/>
        </w:rPr>
        <w:t>规范小区配套幼儿园建设使用。</w:t>
      </w:r>
      <w:r>
        <w:rPr>
          <w:rFonts w:hint="eastAsia" w:ascii="仿宋_GB2312" w:hAnsi="Times New Roman" w:eastAsia="仿宋_GB2312" w:cs="Times New Roman"/>
          <w:kern w:val="2"/>
          <w:sz w:val="32"/>
          <w:szCs w:val="32"/>
        </w:rPr>
        <w:t>贯彻落实《河南省城镇小区配套幼儿园建设管理办法》（豫教基二〔</w:t>
      </w:r>
      <w:r>
        <w:rPr>
          <w:rFonts w:ascii="Times New Roman" w:hAnsi="Times New Roman" w:eastAsia="仿宋_GB2312" w:cs="Times New Roman"/>
          <w:kern w:val="2"/>
          <w:sz w:val="32"/>
          <w:szCs w:val="32"/>
        </w:rPr>
        <w:t>2017</w:t>
      </w:r>
      <w:r>
        <w:rPr>
          <w:rFonts w:hint="eastAsia" w:ascii="仿宋_GB2312" w:hAnsi="Times New Roman" w:eastAsia="仿宋_GB2312" w:cs="Times New Roman"/>
          <w:kern w:val="2"/>
          <w:sz w:val="32"/>
          <w:szCs w:val="32"/>
        </w:rPr>
        <w:t>〕</w:t>
      </w:r>
      <w:r>
        <w:rPr>
          <w:rFonts w:ascii="Times New Roman" w:hAnsi="Times New Roman" w:eastAsia="仿宋_GB2312" w:cs="Times New Roman"/>
          <w:kern w:val="2"/>
          <w:sz w:val="32"/>
          <w:szCs w:val="32"/>
        </w:rPr>
        <w:t>140</w:t>
      </w:r>
      <w:r>
        <w:rPr>
          <w:rFonts w:hint="eastAsia" w:ascii="仿宋_GB2312" w:hAnsi="Times New Roman" w:eastAsia="仿宋_GB2312" w:cs="Times New Roman"/>
          <w:kern w:val="2"/>
          <w:sz w:val="32"/>
          <w:szCs w:val="32"/>
        </w:rPr>
        <w:t>号）和《河南省人民政府办公厅关于进一步推进城镇小区配套幼儿园治理工作的实施意见》（豫政办〔</w:t>
      </w:r>
      <w:r>
        <w:rPr>
          <w:rFonts w:ascii="Times New Roman" w:hAnsi="Times New Roman" w:eastAsia="仿宋_GB2312" w:cs="Times New Roman"/>
          <w:kern w:val="2"/>
          <w:sz w:val="32"/>
          <w:szCs w:val="32"/>
        </w:rPr>
        <w:t>2020</w:t>
      </w:r>
      <w:r>
        <w:rPr>
          <w:rFonts w:hint="eastAsia" w:ascii="仿宋_GB2312" w:hAnsi="Times New Roman" w:eastAsia="仿宋_GB2312" w:cs="Times New Roman"/>
          <w:kern w:val="2"/>
          <w:sz w:val="32"/>
          <w:szCs w:val="32"/>
        </w:rPr>
        <w:t>〕</w:t>
      </w:r>
      <w:r>
        <w:rPr>
          <w:rFonts w:ascii="Times New Roman" w:hAnsi="Times New Roman" w:eastAsia="仿宋_GB2312" w:cs="Times New Roman"/>
          <w:kern w:val="2"/>
          <w:sz w:val="32"/>
          <w:szCs w:val="32"/>
        </w:rPr>
        <w:t>2</w:t>
      </w:r>
      <w:r>
        <w:rPr>
          <w:rFonts w:hint="eastAsia" w:ascii="仿宋_GB2312" w:hAnsi="Times New Roman" w:eastAsia="仿宋_GB2312" w:cs="Times New Roman"/>
          <w:kern w:val="2"/>
          <w:sz w:val="32"/>
          <w:szCs w:val="32"/>
        </w:rPr>
        <w:t>号），健全住建、自然资源、教育等部门联动管理机制，开展城镇小区配套幼儿园</w:t>
      </w:r>
      <w:r>
        <w:rPr>
          <w:rFonts w:ascii="Times New Roman" w:hAnsi="Times New Roman" w:eastAsia="仿宋_GB2312" w:cs="Times New Roman"/>
          <w:kern w:val="2"/>
          <w:sz w:val="32"/>
          <w:szCs w:val="32"/>
        </w:rPr>
        <w:t xml:space="preserve"> </w:t>
      </w:r>
      <w:r>
        <w:rPr>
          <w:rFonts w:hint="eastAsia" w:ascii="仿宋_GB2312" w:hAnsi="Times New Roman" w:eastAsia="仿宋_GB2312" w:cs="Times New Roman"/>
          <w:kern w:val="2"/>
          <w:sz w:val="32"/>
          <w:szCs w:val="32"/>
        </w:rPr>
        <w:t>治理</w:t>
      </w:r>
      <w:r>
        <w:rPr>
          <w:rFonts w:hint="eastAsia" w:ascii="Times New Roman" w:hAnsi="Times New Roman" w:eastAsia="仿宋_GB2312" w:cs="Times New Roman"/>
          <w:kern w:val="2"/>
          <w:sz w:val="32"/>
          <w:szCs w:val="32"/>
        </w:rPr>
        <w:t>“</w:t>
      </w:r>
      <w:r>
        <w:rPr>
          <w:rFonts w:hint="eastAsia" w:ascii="仿宋_GB2312" w:hAnsi="Times New Roman" w:eastAsia="仿宋_GB2312" w:cs="Times New Roman"/>
          <w:kern w:val="2"/>
          <w:sz w:val="32"/>
          <w:szCs w:val="32"/>
        </w:rPr>
        <w:t>回头看</w:t>
      </w:r>
      <w:r>
        <w:rPr>
          <w:rFonts w:hint="eastAsia" w:ascii="Times New Roman" w:hAnsi="Times New Roman" w:eastAsia="仿宋_GB2312" w:cs="Times New Roman"/>
          <w:kern w:val="2"/>
          <w:sz w:val="32"/>
          <w:szCs w:val="32"/>
        </w:rPr>
        <w:t>”</w:t>
      </w:r>
      <w:r>
        <w:rPr>
          <w:rFonts w:hint="eastAsia" w:ascii="仿宋_GB2312" w:hAnsi="Times New Roman" w:eastAsia="仿宋_GB2312" w:cs="Times New Roman"/>
          <w:kern w:val="2"/>
          <w:sz w:val="32"/>
          <w:szCs w:val="32"/>
        </w:rPr>
        <w:t>，巩固治理成果，新建住宅区严格落实配套幼儿园政策，房产开发企业配建的幼儿园按照规定收归公办，补充学前教育公办学位供给，保障城镇地区普惠性资源供给的主渠道，为满足幼儿就近入园提供基本保证。（责任单位：住建局、自然资源局、教体局，各乡镇）</w:t>
      </w:r>
      <w:r>
        <w:rPr>
          <w:rFonts w:ascii="Times New Roman" w:hAnsi="Times New Roman" w:eastAsia="仿宋_GB2312" w:cs="Times New Roman"/>
          <w:color w:val="000000"/>
          <w:sz w:val="31"/>
          <w:szCs w:val="31"/>
        </w:rPr>
        <w:t xml:space="preserve"> </w:t>
      </w:r>
    </w:p>
    <w:p w14:paraId="2BF88CA0">
      <w:pPr>
        <w:pStyle w:val="36"/>
        <w:widowControl w:val="0"/>
        <w:overflowPunct w:val="0"/>
        <w:autoSpaceDE w:val="0"/>
        <w:adjustRightInd w:val="0"/>
        <w:snapToGrid w:val="0"/>
        <w:spacing w:before="0" w:beforeAutospacing="0" w:after="0" w:afterAutospacing="0" w:line="592" w:lineRule="exact"/>
        <w:ind w:firstLine="643"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bCs/>
          <w:sz w:val="32"/>
          <w:szCs w:val="32"/>
          <w:shd w:val="clear" w:color="auto" w:fill="FFFFFF"/>
        </w:rPr>
        <w:t>4.</w:t>
      </w:r>
      <w:r>
        <w:rPr>
          <w:rFonts w:hint="eastAsia" w:ascii="仿宋_GB2312" w:hAnsi="Times New Roman" w:eastAsia="仿宋_GB2312" w:cs="Times New Roman"/>
          <w:b/>
          <w:bCs/>
          <w:sz w:val="32"/>
          <w:szCs w:val="32"/>
          <w:shd w:val="clear" w:color="auto" w:fill="FFFFFF"/>
        </w:rPr>
        <w:t>积极扶持普惠性民办园发展。</w:t>
      </w:r>
      <w:r>
        <w:rPr>
          <w:rFonts w:hint="eastAsia" w:ascii="仿宋_GB2312" w:hAnsi="Times New Roman" w:eastAsia="仿宋_GB2312" w:cs="Times New Roman"/>
          <w:kern w:val="2"/>
          <w:sz w:val="32"/>
          <w:szCs w:val="32"/>
        </w:rPr>
        <w:t>在完成公办幼儿占比</w:t>
      </w:r>
      <w:r>
        <w:rPr>
          <w:rFonts w:ascii="Times New Roman" w:hAnsi="Times New Roman" w:eastAsia="仿宋_GB2312" w:cs="Times New Roman"/>
          <w:kern w:val="2"/>
          <w:sz w:val="32"/>
          <w:szCs w:val="32"/>
        </w:rPr>
        <w:t>50%</w:t>
      </w:r>
      <w:r>
        <w:rPr>
          <w:rFonts w:hint="eastAsia" w:ascii="仿宋_GB2312" w:hAnsi="Times New Roman" w:eastAsia="仿宋_GB2312" w:cs="Times New Roman"/>
          <w:kern w:val="2"/>
          <w:sz w:val="32"/>
          <w:szCs w:val="32"/>
        </w:rPr>
        <w:t>的基础上，鼓励社会力量办园，采取购买服务、综合奖补、减免租金、教研指导等方式支持普惠性民办幼儿园发展。进一步完善普惠性民办园认定标准，支持营利性学前教育机构举办非营利性幼儿园（含普惠性民办园）。（责任单位：教体局、发改委、财政局、市场监管局、民政局，各乡镇）</w:t>
      </w:r>
    </w:p>
    <w:p w14:paraId="65EF7003">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楷体_GB2312" w:eastAsia="楷体_GB2312"/>
          <w:sz w:val="32"/>
          <w:szCs w:val="32"/>
        </w:rPr>
      </w:pPr>
      <w:r>
        <w:rPr>
          <w:rFonts w:hint="eastAsia" w:ascii="楷体_GB2312" w:eastAsia="楷体_GB2312"/>
          <w:sz w:val="32"/>
          <w:szCs w:val="32"/>
        </w:rPr>
        <w:t>（二）推动幼儿园规范发展</w:t>
      </w:r>
    </w:p>
    <w:p w14:paraId="1A2D4F32">
      <w:pPr>
        <w:pStyle w:val="36"/>
        <w:widowControl w:val="0"/>
        <w:overflowPunct w:val="0"/>
        <w:autoSpaceDE w:val="0"/>
        <w:adjustRightInd w:val="0"/>
        <w:snapToGrid w:val="0"/>
        <w:spacing w:before="0" w:beforeAutospacing="0" w:after="0" w:afterAutospacing="0" w:line="592"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kern w:val="2"/>
          <w:sz w:val="32"/>
          <w:szCs w:val="32"/>
        </w:rPr>
        <w:t>1.</w:t>
      </w:r>
      <w:r>
        <w:rPr>
          <w:rFonts w:hint="eastAsia" w:ascii="仿宋_GB2312" w:hAnsi="Times New Roman" w:eastAsia="仿宋_GB2312" w:cs="Times New Roman"/>
          <w:b/>
          <w:bCs/>
          <w:kern w:val="2"/>
          <w:sz w:val="32"/>
          <w:szCs w:val="32"/>
        </w:rPr>
        <w:t>持续推进公办幼儿园规范发展。</w:t>
      </w:r>
      <w:r>
        <w:rPr>
          <w:rFonts w:hint="eastAsia" w:ascii="仿宋_GB2312" w:hAnsi="Times New Roman" w:eastAsia="仿宋_GB2312" w:cs="Times New Roman"/>
          <w:sz w:val="32"/>
          <w:szCs w:val="32"/>
        </w:rPr>
        <w:t>公办幼儿园由国家机构举办，或者国有企业事业单位、街道、村集体利用财政性经费或者国有资产、集体资产举办。</w:t>
      </w:r>
    </w:p>
    <w:p w14:paraId="71EF8B1A">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1</w:t>
      </w:r>
      <w:r>
        <w:rPr>
          <w:rFonts w:hint="eastAsia" w:ascii="仿宋_GB2312" w:hAnsi="Times New Roman" w:eastAsia="仿宋_GB2312" w:cs="Times New Roman"/>
          <w:sz w:val="32"/>
          <w:szCs w:val="32"/>
        </w:rPr>
        <w:t>）严格认定标准。按照属地管理原则，由教育部门负责审批，并到机构编制部门办理事业单位法人登记。幼儿园相关信息录入到教育事业统计和全国学前学籍信息管理系统中，实行动态管理。</w:t>
      </w:r>
    </w:p>
    <w:p w14:paraId="79836422">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2</w:t>
      </w:r>
      <w:r>
        <w:rPr>
          <w:rFonts w:hint="eastAsia" w:ascii="仿宋_GB2312" w:hAnsi="Times New Roman" w:eastAsia="仿宋_GB2312" w:cs="Times New Roman"/>
          <w:sz w:val="32"/>
          <w:szCs w:val="32"/>
        </w:rPr>
        <w:t>）规范收费标准。公办幼儿园收费标准由发改、教育、财政部门核定，并报政府审定。幼儿园除保教费、餐费及经批准由家长自愿缴纳的代收费和服务性收费外，不得收取其他费用，不得收取书本费。</w:t>
      </w:r>
    </w:p>
    <w:p w14:paraId="11E1D235">
      <w:pPr>
        <w:pStyle w:val="36"/>
        <w:widowControl w:val="0"/>
        <w:overflowPunct w:val="0"/>
        <w:autoSpaceDE w:val="0"/>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3</w:t>
      </w:r>
      <w:r>
        <w:rPr>
          <w:rFonts w:hint="eastAsia" w:ascii="仿宋_GB2312" w:hAnsi="Times New Roman" w:eastAsia="仿宋_GB2312" w:cs="Times New Roman"/>
          <w:sz w:val="32"/>
          <w:szCs w:val="32"/>
        </w:rPr>
        <w:t>）加大经费投入。按照幼儿数量和省定生均财政拨款基准定额安排综合财政拨款，纳入年度财政预算。</w:t>
      </w:r>
    </w:p>
    <w:p w14:paraId="3196C74B">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4</w:t>
      </w:r>
      <w:r>
        <w:rPr>
          <w:rFonts w:hint="eastAsia" w:ascii="仿宋_GB2312" w:hAnsi="Times New Roman" w:eastAsia="仿宋_GB2312" w:cs="Times New Roman"/>
          <w:sz w:val="32"/>
          <w:szCs w:val="32"/>
        </w:rPr>
        <w:t>）实行就近入园。坚持公办幼儿园属地管理，确保适龄儿童就近入园、应入尽入。（责任单位：编办、教体局、发改委、自然资源局、住建局、财政局，各乡镇</w:t>
      </w:r>
      <w:r>
        <w:rPr>
          <w:rFonts w:hint="eastAsia" w:ascii="楷体_GB2312" w:eastAsia="楷体_GB2312"/>
          <w:color w:val="000000"/>
          <w:sz w:val="31"/>
          <w:szCs w:val="31"/>
        </w:rPr>
        <w:t>）</w:t>
      </w:r>
    </w:p>
    <w:p w14:paraId="7B919843">
      <w:pPr>
        <w:pStyle w:val="36"/>
        <w:widowControl w:val="0"/>
        <w:overflowPunct w:val="0"/>
        <w:autoSpaceDE w:val="0"/>
        <w:adjustRightInd w:val="0"/>
        <w:snapToGrid w:val="0"/>
        <w:spacing w:before="0" w:beforeAutospacing="0" w:after="0" w:afterAutospacing="0" w:line="592"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kern w:val="2"/>
          <w:sz w:val="32"/>
          <w:szCs w:val="32"/>
        </w:rPr>
        <w:t>2.</w:t>
      </w:r>
      <w:r>
        <w:rPr>
          <w:rFonts w:hint="eastAsia" w:ascii="仿宋_GB2312" w:hAnsi="Times New Roman" w:eastAsia="仿宋_GB2312" w:cs="Times New Roman"/>
          <w:b/>
          <w:bCs/>
          <w:kern w:val="2"/>
          <w:sz w:val="32"/>
          <w:szCs w:val="32"/>
        </w:rPr>
        <w:t>积极支持普惠性民办幼儿园规范发展。</w:t>
      </w:r>
      <w:r>
        <w:rPr>
          <w:rFonts w:hint="eastAsia" w:ascii="仿宋_GB2312" w:hAnsi="Times New Roman" w:eastAsia="仿宋_GB2312" w:cs="Times New Roman"/>
          <w:sz w:val="32"/>
          <w:szCs w:val="32"/>
        </w:rPr>
        <w:t>普惠性民办幼儿园需取得合法办学许可，经认定后、可接受财政经费补助或政府其他方式的扶持，其收费执行政府指导价。</w:t>
      </w:r>
    </w:p>
    <w:p w14:paraId="7AC141A5">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1</w:t>
      </w:r>
      <w:r>
        <w:rPr>
          <w:rFonts w:hint="eastAsia" w:ascii="仿宋_GB2312" w:hAnsi="Times New Roman" w:eastAsia="仿宋_GB2312" w:cs="Times New Roman"/>
          <w:sz w:val="32"/>
          <w:szCs w:val="32"/>
        </w:rPr>
        <w:t>）严格认定标准。具备《洛阳市规范化幼儿园办园标准》的非营利性民办幼儿园，按照属地管理原则，由教育部门负责审批核发《民办学校办学许可证》，到民政部门注册办理《民办非企业单位登记证书》。</w:t>
      </w:r>
    </w:p>
    <w:p w14:paraId="44EB895D">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2</w:t>
      </w:r>
      <w:r>
        <w:rPr>
          <w:rFonts w:hint="eastAsia" w:ascii="仿宋_GB2312" w:hAnsi="Times New Roman" w:eastAsia="仿宋_GB2312" w:cs="Times New Roman"/>
          <w:sz w:val="32"/>
          <w:szCs w:val="32"/>
        </w:rPr>
        <w:t>）完善认定程序。具备规范化普惠性条件的非营利性民办幼儿园，采取自愿申报的原则，按照《汝阳县教育体育局</w:t>
      </w:r>
      <w:r>
        <w:rPr>
          <w:rFonts w:ascii="Times New Roman" w:hAnsi="Times New Roman" w:eastAsia="仿宋_GB2312" w:cs="Times New Roman"/>
          <w:sz w:val="32"/>
          <w:szCs w:val="32"/>
        </w:rPr>
        <w:t xml:space="preserve"> </w:t>
      </w:r>
      <w:r>
        <w:rPr>
          <w:rFonts w:hint="eastAsia" w:ascii="仿宋_GB2312" w:hAnsi="Times New Roman" w:eastAsia="仿宋_GB2312" w:cs="Times New Roman"/>
          <w:sz w:val="32"/>
          <w:szCs w:val="32"/>
        </w:rPr>
        <w:t>汝阳县发展和改革委员会</w:t>
      </w:r>
      <w:r>
        <w:rPr>
          <w:rFonts w:ascii="Times New Roman" w:hAnsi="Times New Roman" w:eastAsia="仿宋_GB2312" w:cs="Times New Roman"/>
          <w:sz w:val="32"/>
          <w:szCs w:val="32"/>
        </w:rPr>
        <w:t xml:space="preserve"> </w:t>
      </w:r>
      <w:r>
        <w:rPr>
          <w:rFonts w:hint="eastAsia" w:ascii="仿宋_GB2312" w:hAnsi="Times New Roman" w:eastAsia="仿宋_GB2312" w:cs="Times New Roman"/>
          <w:sz w:val="32"/>
          <w:szCs w:val="32"/>
        </w:rPr>
        <w:t>汝阳县财政局关于印发汝阳县普惠性民办幼儿园认定及管理工作指导意见的通知》要求，经县教育、发改、财政等部门综合评估后，认定为普惠性民办幼儿园，并公示备案。经申请认定的普惠性民办幼儿园三年内禁止退出。</w:t>
      </w:r>
    </w:p>
    <w:p w14:paraId="507CD08C">
      <w:pPr>
        <w:autoSpaceDE w:val="0"/>
        <w:spacing w:line="592"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3</w:t>
      </w:r>
      <w:r>
        <w:rPr>
          <w:rFonts w:hint="eastAsia" w:ascii="仿宋_GB2312" w:hAnsi="Times New Roman" w:eastAsia="仿宋_GB2312"/>
          <w:sz w:val="32"/>
          <w:szCs w:val="32"/>
        </w:rPr>
        <w:t>）落实奖补政策。</w:t>
      </w:r>
      <w:r>
        <w:rPr>
          <w:rFonts w:hint="eastAsia" w:ascii="仿宋_GB2312" w:eastAsia="仿宋_GB2312"/>
          <w:sz w:val="32"/>
          <w:szCs w:val="32"/>
        </w:rPr>
        <w:t>落实洛阳市普惠性民办幼儿园认定标准、补助标准及扶持政策，将普惠性民办幼儿园</w:t>
      </w:r>
      <w:r>
        <w:rPr>
          <w:rFonts w:hint="eastAsia" w:ascii="仿宋_GB2312" w:hAnsi="Times New Roman" w:eastAsia="仿宋_GB2312"/>
          <w:sz w:val="32"/>
          <w:szCs w:val="32"/>
        </w:rPr>
        <w:t>办园等级、招生规模、保教质量、教师待遇保障等</w:t>
      </w:r>
      <w:r>
        <w:rPr>
          <w:rFonts w:hint="eastAsia" w:ascii="仿宋_GB2312" w:eastAsia="仿宋_GB2312"/>
          <w:sz w:val="32"/>
          <w:szCs w:val="32"/>
        </w:rPr>
        <w:t>作为其奖励和支持的重要依据。</w:t>
      </w:r>
      <w:r>
        <w:rPr>
          <w:rFonts w:hint="eastAsia" w:ascii="仿宋_GB2312" w:hAnsi="Times New Roman" w:eastAsia="仿宋_GB2312"/>
          <w:kern w:val="0"/>
          <w:sz w:val="31"/>
          <w:szCs w:val="31"/>
        </w:rPr>
        <w:t>鼓励普惠性民办幼儿园积极扩充资源，</w:t>
      </w:r>
      <w:r>
        <w:rPr>
          <w:rFonts w:hint="eastAsia" w:ascii="仿宋_GB2312" w:hAnsi="Times New Roman" w:eastAsia="仿宋_GB2312"/>
          <w:sz w:val="32"/>
          <w:szCs w:val="32"/>
        </w:rPr>
        <w:t>财政生均奖补资金优先用于保障教师</w:t>
      </w:r>
      <w:r>
        <w:rPr>
          <w:rFonts w:hint="eastAsia" w:ascii="Times New Roman" w:hAnsi="Times New Roman" w:eastAsia="仿宋_GB2312"/>
          <w:sz w:val="32"/>
          <w:szCs w:val="32"/>
        </w:rPr>
        <w:t>“五险一金”、工资福利和教师培训，支持其改善办园条件，提高保教质量。在国家规定的税收优惠政策、幼儿资助政策</w:t>
      </w:r>
      <w:r>
        <w:rPr>
          <w:rFonts w:hint="eastAsia" w:ascii="仿宋_GB2312" w:hAnsi="Times New Roman" w:eastAsia="仿宋_GB2312"/>
          <w:sz w:val="32"/>
          <w:szCs w:val="32"/>
        </w:rPr>
        <w:t>、教师职称评定等方面，与公办学校享有同等待遇。</w:t>
      </w:r>
    </w:p>
    <w:p w14:paraId="3E51BBC0">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4</w:t>
      </w:r>
      <w:r>
        <w:rPr>
          <w:rFonts w:hint="eastAsia" w:ascii="仿宋_GB2312" w:hAnsi="Times New Roman" w:eastAsia="仿宋_GB2312" w:cs="Times New Roman"/>
          <w:sz w:val="32"/>
          <w:szCs w:val="32"/>
        </w:rPr>
        <w:t>）规范收费标准。普惠性民办幼儿园收费参照同级公办幼儿园收费标准，结合办园等级确定最高收费标准。幼儿园在最高标准范围内，根据办园成本合理核定具体收费标准。幼儿园除保教费、餐费及经批准由家长自愿缴纳的代收费和服务性收费外，不得收取其他费用，不得收取书本费。</w:t>
      </w:r>
    </w:p>
    <w:p w14:paraId="1EBAA556">
      <w:pPr>
        <w:keepNext w:val="0"/>
        <w:keepLines w:val="0"/>
        <w:pageBreakBefore w:val="0"/>
        <w:widowControl w:val="0"/>
        <w:shd w:val="clear" w:color="auto" w:fill="FFFFFF"/>
        <w:kinsoku/>
        <w:wordWrap/>
        <w:overflowPunct w:val="0"/>
        <w:topLinePunct w:val="0"/>
        <w:autoSpaceDE w:val="0"/>
        <w:autoSpaceDN/>
        <w:bidi w:val="0"/>
        <w:adjustRightInd/>
        <w:snapToGrid/>
        <w:spacing w:line="592" w:lineRule="exact"/>
        <w:ind w:firstLine="640" w:firstLineChars="200"/>
        <w:textAlignment w:val="auto"/>
        <w:rPr>
          <w:szCs w:val="21"/>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5</w:t>
      </w:r>
      <w:r>
        <w:rPr>
          <w:rFonts w:hint="eastAsia" w:ascii="仿宋_GB2312" w:hAnsi="Times New Roman" w:eastAsia="仿宋_GB2312"/>
          <w:sz w:val="32"/>
          <w:szCs w:val="32"/>
        </w:rPr>
        <w:t>）强化动态监管。每年结合年检工作对普惠性民办幼儿园规范办园情况进行检查。对出现办园条件不达标、办园行为不规范、财务管理混乱、违规乱收费、保教质量下降、小学化倾向严重、出现重大安全事故、教师合法权益保障不到位及弄虚作假等违反有关规定的，责令限期整改，情节严重的取消普惠性民办幼儿园资格，且三年内不得重新申报。（责任单位：教体局、发改委、财政局、民政局、自然资源局、住建局，各乡镇）</w:t>
      </w:r>
    </w:p>
    <w:p w14:paraId="57A78D94">
      <w:pPr>
        <w:pStyle w:val="36"/>
        <w:widowControl w:val="0"/>
        <w:overflowPunct w:val="0"/>
        <w:autoSpaceDE w:val="0"/>
        <w:adjustRightInd w:val="0"/>
        <w:snapToGrid w:val="0"/>
        <w:spacing w:before="0" w:beforeAutospacing="0" w:after="0" w:afterAutospacing="0" w:line="592"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kern w:val="2"/>
          <w:sz w:val="32"/>
          <w:szCs w:val="32"/>
        </w:rPr>
        <w:t>3.</w:t>
      </w:r>
      <w:r>
        <w:rPr>
          <w:rFonts w:hint="eastAsia" w:ascii="仿宋_GB2312" w:hAnsi="Times New Roman" w:eastAsia="仿宋_GB2312" w:cs="Times New Roman"/>
          <w:b/>
          <w:bCs/>
          <w:kern w:val="2"/>
          <w:sz w:val="32"/>
          <w:szCs w:val="32"/>
        </w:rPr>
        <w:t>严格监管营利性民办幼儿园规范发展。</w:t>
      </w:r>
      <w:r>
        <w:rPr>
          <w:rFonts w:hint="eastAsia" w:ascii="仿宋_GB2312" w:hAnsi="Times New Roman" w:eastAsia="仿宋_GB2312" w:cs="Times New Roman"/>
          <w:sz w:val="32"/>
          <w:szCs w:val="32"/>
        </w:rPr>
        <w:t>营利性民办幼儿园由个人或社会团体举办，需取得合法办学许可。</w:t>
      </w:r>
    </w:p>
    <w:p w14:paraId="0E8D77BB">
      <w:pPr>
        <w:overflowPunct w:val="0"/>
        <w:autoSpaceDE w:val="0"/>
        <w:spacing w:line="592"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1</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严格认定标准。具备《洛阳市规范化幼儿园办园标准》的营利性民办幼儿园，按照属地管理原则，由教育部门负责审批核发《民办学校办学许可证》，到市场监管部门注册办理营业执照。</w:t>
      </w:r>
    </w:p>
    <w:p w14:paraId="0C591E3E">
      <w:pPr>
        <w:keepNext w:val="0"/>
        <w:keepLines w:val="0"/>
        <w:pageBreakBefore w:val="0"/>
        <w:widowControl w:val="0"/>
        <w:kinsoku/>
        <w:wordWrap/>
        <w:overflowPunct w:val="0"/>
        <w:topLinePunct w:val="0"/>
        <w:autoSpaceDE w:val="0"/>
        <w:autoSpaceDN/>
        <w:bidi w:val="0"/>
        <w:adjustRightInd/>
        <w:snapToGrid/>
        <w:spacing w:line="592" w:lineRule="exact"/>
        <w:ind w:firstLine="640" w:firstLineChars="200"/>
        <w:textAlignment w:val="auto"/>
        <w:rPr>
          <w:rFonts w:ascii="Times New Roman" w:hAnsi="Times New Roman" w:eastAsia="仿宋_GB2312"/>
          <w:sz w:val="32"/>
          <w:szCs w:val="32"/>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2</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规范收费标准。营利性民办幼儿园收费实行市场调节，落实收费公示制度，接受社会监督。幼儿园除保教费、餐费及经批准由家长自愿缴纳的代收费和服务性收费外，不得收取其他费用，不得收取书本费。坚持专款专用，不得挪作他用。</w:t>
      </w:r>
    </w:p>
    <w:p w14:paraId="2716644B">
      <w:pPr>
        <w:keepNext w:val="0"/>
        <w:keepLines w:val="0"/>
        <w:pageBreakBefore w:val="0"/>
        <w:widowControl w:val="0"/>
        <w:kinsoku/>
        <w:wordWrap/>
        <w:overflowPunct w:val="0"/>
        <w:topLinePunct w:val="0"/>
        <w:autoSpaceDE w:val="0"/>
        <w:autoSpaceDN/>
        <w:bidi w:val="0"/>
        <w:adjustRightInd/>
        <w:snapToGrid/>
        <w:spacing w:line="592" w:lineRule="exact"/>
        <w:ind w:firstLine="640" w:firstLineChars="200"/>
        <w:jc w:val="both"/>
        <w:textAlignment w:val="auto"/>
        <w:rPr>
          <w:rFonts w:ascii="Times New Roman" w:hAnsi="Times New Roman" w:eastAsia="仿宋_GB2312"/>
          <w:sz w:val="32"/>
          <w:szCs w:val="32"/>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仿宋_GB2312" w:hAnsi="Times New Roman" w:eastAsia="仿宋_GB2312"/>
          <w:sz w:val="32"/>
          <w:szCs w:val="32"/>
        </w:rPr>
        <w:t>完善监管机制。强化对幼儿园教师配备、收费行为、安全防护、经费使用、保教质量等方面的动态监管。幼儿园依法建立财务、资产管理制度，收取的费用主要用于幼儿保教活动、改善办园条件和保障教职工待遇，不得有过度逐利行为。（责任单位：教体局、发改委、市场监管局）</w:t>
      </w:r>
    </w:p>
    <w:p w14:paraId="6CB88C2C">
      <w:pPr>
        <w:overflowPunct w:val="0"/>
        <w:autoSpaceDE w:val="0"/>
        <w:spacing w:line="59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仿宋_GB2312" w:hAnsi="Times New Roman" w:eastAsia="仿宋_GB2312"/>
          <w:b/>
          <w:bCs/>
          <w:sz w:val="32"/>
          <w:szCs w:val="32"/>
        </w:rPr>
        <w:t>强力推动配套幼儿园政策落实。</w:t>
      </w:r>
      <w:r>
        <w:rPr>
          <w:rFonts w:hint="eastAsia" w:ascii="仿宋_GB2312" w:hAnsi="Times New Roman" w:eastAsia="仿宋_GB2312"/>
          <w:sz w:val="32"/>
          <w:szCs w:val="32"/>
        </w:rPr>
        <w:t>城镇小区配套幼儿园由新建住宅小区配套建设。</w:t>
      </w:r>
    </w:p>
    <w:p w14:paraId="542C4544">
      <w:pPr>
        <w:overflowPunct w:val="0"/>
        <w:autoSpaceDE w:val="0"/>
        <w:spacing w:line="592"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（1）</w:t>
      </w:r>
      <w:r>
        <w:rPr>
          <w:rFonts w:hint="eastAsia" w:ascii="仿宋_GB2312" w:hAnsi="Times New Roman" w:eastAsia="仿宋_GB2312"/>
          <w:sz w:val="32"/>
          <w:szCs w:val="32"/>
        </w:rPr>
        <w:t>落实</w:t>
      </w:r>
      <w:r>
        <w:rPr>
          <w:rFonts w:hint="eastAsia" w:ascii="Times New Roman" w:hAnsi="Times New Roman" w:eastAsia="仿宋_GB2312"/>
          <w:sz w:val="32"/>
          <w:szCs w:val="32"/>
        </w:rPr>
        <w:t>“</w:t>
      </w:r>
      <w:r>
        <w:rPr>
          <w:rFonts w:hint="eastAsia" w:ascii="仿宋_GB2312" w:hAnsi="Times New Roman" w:eastAsia="仿宋_GB2312"/>
          <w:sz w:val="32"/>
          <w:szCs w:val="32"/>
        </w:rPr>
        <w:t>五同步</w:t>
      </w:r>
      <w:r>
        <w:rPr>
          <w:rFonts w:hint="eastAsia" w:ascii="Times New Roman" w:hAnsi="Times New Roman" w:eastAsia="仿宋_GB2312"/>
          <w:sz w:val="32"/>
          <w:szCs w:val="32"/>
        </w:rPr>
        <w:t>”。</w:t>
      </w:r>
      <w:r>
        <w:rPr>
          <w:rFonts w:hint="eastAsia" w:ascii="仿宋_GB2312" w:hAnsi="Times New Roman" w:eastAsia="仿宋_GB2312"/>
          <w:sz w:val="32"/>
          <w:szCs w:val="32"/>
        </w:rPr>
        <w:t>做好配套幼儿园建设管理相关工作，确保配套幼儿园与新建住宅小区首期同步规划、同步设计、同步建设、同步验收和同步交付使用。</w:t>
      </w:r>
    </w:p>
    <w:p w14:paraId="23AD9724">
      <w:pPr>
        <w:keepNext w:val="0"/>
        <w:keepLines w:val="0"/>
        <w:pageBreakBefore w:val="0"/>
        <w:widowControl w:val="0"/>
        <w:kinsoku/>
        <w:wordWrap/>
        <w:overflowPunct w:val="0"/>
        <w:topLinePunct w:val="0"/>
        <w:autoSpaceDE w:val="0"/>
        <w:autoSpaceDN/>
        <w:bidi w:val="0"/>
        <w:adjustRightInd/>
        <w:snapToGrid/>
        <w:spacing w:line="592" w:lineRule="exact"/>
        <w:ind w:firstLine="640" w:firstLineChars="200"/>
        <w:textAlignment w:val="auto"/>
        <w:rPr>
          <w:rFonts w:ascii="Times New Roman" w:hAnsi="Times New Roman" w:eastAsia="仿宋_GB2312"/>
          <w:sz w:val="32"/>
          <w:szCs w:val="32"/>
        </w:rPr>
      </w:pPr>
      <w:r>
        <w:rPr>
          <w:rFonts w:hint="eastAsia" w:ascii="仿宋_GB2312" w:hAnsi="Times New Roman" w:eastAsia="仿宋_GB2312"/>
          <w:sz w:val="32"/>
          <w:szCs w:val="32"/>
        </w:rPr>
        <w:t>（</w:t>
      </w:r>
      <w:r>
        <w:rPr>
          <w:rFonts w:hint="default" w:ascii="Times New Roman" w:hAnsi="Times New Roman" w:eastAsia="仿宋_GB2312" w:cs="Times New Roman"/>
          <w:sz w:val="32"/>
          <w:szCs w:val="32"/>
        </w:rPr>
        <w:t>2</w:t>
      </w:r>
      <w:r>
        <w:rPr>
          <w:rFonts w:hint="eastAsia" w:ascii="仿宋_GB2312" w:hAnsi="Times New Roman" w:eastAsia="仿宋_GB2312"/>
          <w:sz w:val="32"/>
          <w:szCs w:val="32"/>
        </w:rPr>
        <w:t>）严格建设标准。配套幼儿园用地标准按照每</w:t>
      </w:r>
      <w:r>
        <w:rPr>
          <w:rFonts w:ascii="Times New Roman" w:hAnsi="Times New Roman" w:eastAsia="仿宋_GB2312"/>
          <w:sz w:val="32"/>
          <w:szCs w:val="32"/>
        </w:rPr>
        <w:t>5000</w:t>
      </w:r>
      <w:r>
        <w:rPr>
          <w:rFonts w:hint="eastAsia" w:ascii="仿宋_GB2312" w:hAnsi="Times New Roman" w:eastAsia="仿宋_GB2312"/>
          <w:sz w:val="32"/>
          <w:szCs w:val="32"/>
        </w:rPr>
        <w:t>人口左右区域，预留一所</w:t>
      </w:r>
      <w:r>
        <w:rPr>
          <w:rFonts w:ascii="Times New Roman" w:hAnsi="Times New Roman" w:eastAsia="仿宋_GB2312"/>
          <w:sz w:val="32"/>
          <w:szCs w:val="32"/>
        </w:rPr>
        <w:t>6</w:t>
      </w:r>
      <w:r>
        <w:rPr>
          <w:rFonts w:hint="eastAsia" w:ascii="仿宋_GB2312" w:hAnsi="Times New Roman" w:eastAsia="仿宋_GB2312"/>
          <w:sz w:val="32"/>
          <w:szCs w:val="32"/>
        </w:rPr>
        <w:t>班以上规模的幼儿园建设用地。对规模不足</w:t>
      </w:r>
      <w:r>
        <w:rPr>
          <w:rFonts w:ascii="Times New Roman" w:hAnsi="Times New Roman" w:eastAsia="仿宋_GB2312"/>
          <w:sz w:val="32"/>
          <w:szCs w:val="32"/>
        </w:rPr>
        <w:t>5000</w:t>
      </w:r>
      <w:r>
        <w:rPr>
          <w:rFonts w:hint="eastAsia" w:ascii="仿宋_GB2312" w:hAnsi="Times New Roman" w:eastAsia="仿宋_GB2312"/>
          <w:sz w:val="32"/>
          <w:szCs w:val="32"/>
        </w:rPr>
        <w:t>左右人口的零星住宅建设或组团开发区域，规划部门应进行区域统筹，合理规划幼儿园配建项目。配套幼儿园应功能独立，与住宅小区其他用地界限明确，并单独提供安全畅通的出入口。</w:t>
      </w:r>
    </w:p>
    <w:p w14:paraId="2CEC0765">
      <w:pPr>
        <w:keepNext w:val="0"/>
        <w:keepLines w:val="0"/>
        <w:pageBreakBefore w:val="0"/>
        <w:widowControl w:val="0"/>
        <w:kinsoku/>
        <w:wordWrap/>
        <w:overflowPunct w:val="0"/>
        <w:topLinePunct w:val="0"/>
        <w:autoSpaceDE w:val="0"/>
        <w:autoSpaceDN/>
        <w:bidi w:val="0"/>
        <w:adjustRightInd/>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及时建成移交。配套幼儿园建成并验收合格后，及时移交。新建属于划拨土地的配套幼儿园，按合同约定交由教育部门举办公办幼儿园；原有按照出让土地建设的配套幼儿园，实施</w:t>
      </w:r>
      <w:r>
        <w:rPr>
          <w:rFonts w:hint="eastAsia" w:ascii="Times New Roman" w:hAnsi="Times New Roman" w:eastAsia="仿宋_GB2312"/>
          <w:sz w:val="32"/>
          <w:szCs w:val="32"/>
        </w:rPr>
        <w:t>“一园一案”，</w:t>
      </w:r>
      <w:r>
        <w:rPr>
          <w:rFonts w:hint="eastAsia" w:ascii="仿宋_GB2312" w:hAnsi="Times New Roman" w:eastAsia="仿宋_GB2312"/>
          <w:sz w:val="32"/>
          <w:szCs w:val="32"/>
        </w:rPr>
        <w:t>采取无偿赠与政府或政府有偿回购方式移交教育部门，由教育部门统筹安排用于举办公办幼儿园或委托办成普惠性民办幼儿园，优先满足本小区居民适龄儿童就近入园。（责任单位：住建局、自然资源局、教体局、发改委，各乡镇）</w:t>
      </w:r>
    </w:p>
    <w:p w14:paraId="3463E9CC">
      <w:pPr>
        <w:pStyle w:val="36"/>
        <w:widowControl w:val="0"/>
        <w:overflowPunct w:val="0"/>
        <w:autoSpaceDE w:val="0"/>
        <w:adjustRightInd w:val="0"/>
        <w:snapToGrid w:val="0"/>
        <w:spacing w:before="0" w:beforeAutospacing="0" w:after="0" w:afterAutospacing="0" w:line="592" w:lineRule="exact"/>
        <w:ind w:firstLine="640" w:firstLineChars="200"/>
        <w:jc w:val="both"/>
        <w:rPr>
          <w:rFonts w:ascii="楷体_GB2312" w:eastAsia="楷体_GB2312"/>
          <w:sz w:val="32"/>
          <w:szCs w:val="32"/>
        </w:rPr>
      </w:pPr>
      <w:r>
        <w:rPr>
          <w:rFonts w:hint="eastAsia" w:ascii="楷体_GB2312" w:eastAsia="楷体_GB2312"/>
          <w:sz w:val="32"/>
          <w:szCs w:val="32"/>
        </w:rPr>
        <w:t>（三）促进保教质量提升</w:t>
      </w:r>
    </w:p>
    <w:p w14:paraId="450346DF">
      <w:pPr>
        <w:overflowPunct w:val="0"/>
        <w:autoSpaceDE w:val="0"/>
        <w:adjustRightInd w:val="0"/>
        <w:snapToGrid w:val="0"/>
        <w:spacing w:line="59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shd w:val="clear" w:color="auto" w:fill="FFFFFF"/>
        </w:rPr>
        <w:t>1.</w:t>
      </w:r>
      <w:r>
        <w:rPr>
          <w:rFonts w:hint="eastAsia" w:ascii="仿宋_GB2312" w:hAnsi="Times New Roman" w:eastAsia="仿宋_GB2312"/>
          <w:b/>
          <w:bCs/>
          <w:sz w:val="32"/>
          <w:szCs w:val="32"/>
          <w:shd w:val="clear" w:color="auto" w:fill="FFFFFF"/>
        </w:rPr>
        <w:t>加强科学保教理念引领。</w:t>
      </w:r>
      <w:r>
        <w:rPr>
          <w:rFonts w:hint="eastAsia" w:ascii="仿宋_GB2312" w:hAnsi="Times New Roman" w:eastAsia="仿宋_GB2312"/>
          <w:sz w:val="32"/>
          <w:szCs w:val="32"/>
        </w:rPr>
        <w:t>以《幼儿园教育指导纲要（试行）》和《</w:t>
      </w:r>
      <w:r>
        <w:rPr>
          <w:rFonts w:ascii="Times New Roman" w:hAnsi="Times New Roman" w:eastAsia="仿宋_GB2312"/>
          <w:sz w:val="32"/>
          <w:szCs w:val="32"/>
        </w:rPr>
        <w:t>3—6</w:t>
      </w:r>
      <w:r>
        <w:rPr>
          <w:rFonts w:hint="eastAsia" w:ascii="仿宋_GB2312" w:hAnsi="Times New Roman" w:eastAsia="仿宋_GB2312"/>
          <w:sz w:val="32"/>
          <w:szCs w:val="32"/>
        </w:rPr>
        <w:t>岁儿童学习与发展指南》为引领，牢固树立幼儿园保育和教育并重的理念，坚持以游戏为基本活动，构建幼儿园和小学双向科学衔接机制，坚决纠正超前学习等违反幼儿身心发展规律的行为，培养有益于儿童终身发展的习惯与能力。加强对幼儿园课程教学资源管理和卫生保健工作。持续改善薄弱幼儿园办园条件，确保幼儿园园舍条件、玩教具、图书、户外活动场地等符合国家标准。（责任单位：教体局，各乡镇）</w:t>
      </w:r>
    </w:p>
    <w:p w14:paraId="60657B05">
      <w:pPr>
        <w:overflowPunct w:val="0"/>
        <w:autoSpaceDE w:val="0"/>
        <w:adjustRightInd w:val="0"/>
        <w:snapToGrid w:val="0"/>
        <w:spacing w:line="59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shd w:val="clear" w:color="auto" w:fill="FFFFFF"/>
        </w:rPr>
        <w:t>2.</w:t>
      </w:r>
      <w:r>
        <w:rPr>
          <w:rFonts w:hint="eastAsia" w:ascii="仿宋_GB2312" w:hAnsi="Times New Roman" w:eastAsia="仿宋_GB2312"/>
          <w:b/>
          <w:bCs/>
          <w:sz w:val="32"/>
          <w:szCs w:val="32"/>
          <w:shd w:val="clear" w:color="auto" w:fill="FFFFFF"/>
        </w:rPr>
        <w:t>加强学前教师队伍建设。</w:t>
      </w:r>
      <w:r>
        <w:rPr>
          <w:rFonts w:hint="eastAsia" w:ascii="仿宋_GB2312" w:hAnsi="Times New Roman" w:eastAsia="仿宋_GB2312"/>
          <w:sz w:val="32"/>
          <w:szCs w:val="32"/>
        </w:rPr>
        <w:t>加强幼儿园编制动态管理，优化编制结构，做到</w:t>
      </w:r>
      <w:r>
        <w:rPr>
          <w:rFonts w:hint="eastAsia" w:ascii="Times New Roman" w:hAnsi="Times New Roman" w:eastAsia="仿宋_GB2312"/>
          <w:sz w:val="32"/>
          <w:szCs w:val="32"/>
        </w:rPr>
        <w:t>“有编即补”，确保公办幼儿园园长、专业教师、卫生保健员等重点核心岗位人员编制需求，全县幼儿园专任教师数与在园幼儿数之比不低于</w:t>
      </w:r>
      <w:r>
        <w:rPr>
          <w:rFonts w:ascii="Times New Roman" w:hAnsi="Times New Roman" w:eastAsia="仿宋_GB2312"/>
          <w:sz w:val="32"/>
          <w:szCs w:val="32"/>
        </w:rPr>
        <w:t>1</w:t>
      </w:r>
      <w:r>
        <w:rPr>
          <w:rFonts w:ascii="仿宋_GB2312" w:hAnsi="Times New Roman" w:eastAsia="仿宋_GB2312"/>
          <w:sz w:val="32"/>
          <w:szCs w:val="32"/>
        </w:rPr>
        <w:t>:</w:t>
      </w:r>
      <w:r>
        <w:rPr>
          <w:rFonts w:ascii="Times New Roman" w:hAnsi="Times New Roman" w:eastAsia="仿宋_GB2312"/>
          <w:sz w:val="32"/>
          <w:szCs w:val="32"/>
        </w:rPr>
        <w:t>15</w:t>
      </w:r>
      <w:r>
        <w:rPr>
          <w:rFonts w:hint="eastAsia" w:ascii="仿宋_GB2312" w:hAnsi="Times New Roman" w:eastAsia="仿宋_GB2312"/>
          <w:sz w:val="32"/>
          <w:szCs w:val="32"/>
        </w:rPr>
        <w:t>。加强幼儿教师师德师风建设，建立师德教育、考评、奖惩机制，落实幼儿教师持证上岗制度和教研工作机制，落实公（民）办幼儿园园长、保教人员定期培训和全员轮训制度，不断提高幼儿教师队伍整体素质。（责任单位：编办、人社局、教体局，各乡镇）</w:t>
      </w:r>
    </w:p>
    <w:p w14:paraId="7D3654B2">
      <w:pPr>
        <w:overflowPunct w:val="0"/>
        <w:autoSpaceDE w:val="0"/>
        <w:adjustRightInd w:val="0"/>
        <w:snapToGrid w:val="0"/>
        <w:spacing w:line="59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shd w:val="clear" w:color="auto" w:fill="FFFFFF"/>
        </w:rPr>
        <w:t>3.</w:t>
      </w:r>
      <w:r>
        <w:rPr>
          <w:rFonts w:hint="eastAsia" w:ascii="仿宋_GB2312" w:hAnsi="Times New Roman" w:eastAsia="仿宋_GB2312"/>
          <w:b/>
          <w:bCs/>
          <w:sz w:val="32"/>
          <w:szCs w:val="32"/>
          <w:shd w:val="clear" w:color="auto" w:fill="FFFFFF"/>
        </w:rPr>
        <w:t>持续规范办园行为。</w:t>
      </w:r>
      <w:r>
        <w:rPr>
          <w:rFonts w:hint="eastAsia" w:ascii="仿宋_GB2312" w:hAnsi="Times New Roman" w:eastAsia="仿宋_GB2312"/>
          <w:sz w:val="32"/>
          <w:szCs w:val="32"/>
        </w:rPr>
        <w:t>建立并落实覆盖所有幼儿园的责任督学挂牌督导制度，强化幼儿园办园行为和保教工作的经常性督导、过程性督导、专项工作督导。持续开展无证园清理整顿，及时消除非法办园。对已经不再举办的幼儿园，标识牌和广告牌要及时彻底清理。对规范办园名称、课程内容、安全隐患及严重失德等情况进行督查，限期整改，整改不到位的年检实行一票否决，对涉事教职工、管理者和举办者依法追究法律责任。持续开展对学前班、幼小衔接班、国学班等违规办学行为的治理，对任何违反儿童身心发展规律的培训活动，依法严肃查处，追究相关人员责任。（责任单位：教体局、公安局、市场监管局、民政局、消防救援大队，各乡镇）</w:t>
      </w:r>
    </w:p>
    <w:p w14:paraId="5C474DDB">
      <w:pPr>
        <w:autoSpaceDE w:val="0"/>
        <w:spacing w:line="592" w:lineRule="exact"/>
        <w:ind w:firstLine="640" w:firstLineChars="200"/>
        <w:rPr>
          <w:szCs w:val="21"/>
        </w:rPr>
      </w:pPr>
      <w:r>
        <w:rPr>
          <w:rFonts w:hint="eastAsia" w:ascii="黑体" w:hAnsi="黑体" w:eastAsia="黑体"/>
          <w:kern w:val="0"/>
          <w:sz w:val="32"/>
          <w:szCs w:val="32"/>
        </w:rPr>
        <w:t>四、实施步骤</w:t>
      </w:r>
    </w:p>
    <w:p w14:paraId="1741BE8E">
      <w:pPr>
        <w:autoSpaceDE w:val="0"/>
        <w:spacing w:line="592" w:lineRule="exact"/>
        <w:ind w:firstLine="640" w:firstLineChars="200"/>
        <w:rPr>
          <w:rFonts w:ascii="Times New Roman" w:hAnsi="Times New Roman" w:eastAsia="楷体_GB2312"/>
          <w:sz w:val="32"/>
          <w:szCs w:val="32"/>
        </w:rPr>
      </w:pPr>
      <w:r>
        <w:rPr>
          <w:rFonts w:hint="eastAsia" w:ascii="楷体_GB2312" w:hAnsi="Times New Roman" w:eastAsia="楷体_GB2312"/>
          <w:sz w:val="32"/>
          <w:szCs w:val="32"/>
        </w:rPr>
        <w:t>（一）启动实施阶段（</w:t>
      </w:r>
      <w:r>
        <w:rPr>
          <w:rFonts w:ascii="Times New Roman" w:hAnsi="Times New Roman" w:eastAsia="楷体_GB2312"/>
          <w:sz w:val="32"/>
          <w:szCs w:val="32"/>
        </w:rPr>
        <w:t>2025</w:t>
      </w:r>
      <w:r>
        <w:rPr>
          <w:rFonts w:hint="eastAsia" w:ascii="楷体_GB2312" w:hAnsi="Times New Roman" w:eastAsia="楷体_GB2312"/>
          <w:sz w:val="32"/>
          <w:szCs w:val="32"/>
        </w:rPr>
        <w:t>年</w:t>
      </w:r>
      <w:r>
        <w:rPr>
          <w:rFonts w:ascii="Times New Roman" w:hAnsi="Times New Roman" w:eastAsia="楷体_GB2312"/>
          <w:sz w:val="32"/>
          <w:szCs w:val="32"/>
        </w:rPr>
        <w:t>5</w:t>
      </w:r>
      <w:r>
        <w:rPr>
          <w:rFonts w:hint="eastAsia" w:ascii="楷体_GB2312" w:hAnsi="Times New Roman" w:eastAsia="楷体_GB2312"/>
          <w:sz w:val="32"/>
          <w:szCs w:val="32"/>
        </w:rPr>
        <w:t>月）</w:t>
      </w:r>
    </w:p>
    <w:p w14:paraId="2E7E12E9">
      <w:pPr>
        <w:autoSpaceDE w:val="0"/>
        <w:spacing w:line="592"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印发《汝阳县关于推进学前教育普及普惠发展的实施方案》，各部门认真对照方案标准，做好各类资料的收集与整理工作，确保资料真实、完整、连贯。</w:t>
      </w:r>
    </w:p>
    <w:p w14:paraId="0A7732B7">
      <w:pPr>
        <w:autoSpaceDE w:val="0"/>
        <w:spacing w:line="592" w:lineRule="exact"/>
        <w:ind w:firstLine="640" w:firstLineChars="200"/>
        <w:rPr>
          <w:rFonts w:ascii="Times New Roman" w:hAnsi="Times New Roman" w:eastAsia="楷体_GB2312"/>
          <w:sz w:val="32"/>
          <w:szCs w:val="32"/>
        </w:rPr>
      </w:pPr>
      <w:r>
        <w:rPr>
          <w:rFonts w:hint="eastAsia" w:ascii="楷体_GB2312" w:hAnsi="Times New Roman" w:eastAsia="楷体_GB2312"/>
          <w:sz w:val="32"/>
          <w:szCs w:val="32"/>
        </w:rPr>
        <w:t>（二）自查整改阶段（</w:t>
      </w:r>
      <w:r>
        <w:rPr>
          <w:rFonts w:ascii="Times New Roman" w:hAnsi="Times New Roman" w:eastAsia="楷体_GB2312"/>
          <w:sz w:val="32"/>
          <w:szCs w:val="32"/>
        </w:rPr>
        <w:t>2025</w:t>
      </w:r>
      <w:r>
        <w:rPr>
          <w:rFonts w:hint="eastAsia" w:ascii="楷体_GB2312" w:hAnsi="Times New Roman" w:eastAsia="楷体_GB2312"/>
          <w:sz w:val="32"/>
          <w:szCs w:val="32"/>
        </w:rPr>
        <w:t>年</w:t>
      </w:r>
      <w:r>
        <w:rPr>
          <w:rFonts w:ascii="Times New Roman" w:hAnsi="Times New Roman" w:eastAsia="楷体_GB2312"/>
          <w:sz w:val="32"/>
          <w:szCs w:val="32"/>
        </w:rPr>
        <w:t>5</w:t>
      </w:r>
      <w:r>
        <w:rPr>
          <w:rFonts w:hint="eastAsia" w:ascii="楷体_GB2312" w:hAnsi="Times New Roman" w:eastAsia="楷体_GB2312"/>
          <w:sz w:val="32"/>
          <w:szCs w:val="32"/>
        </w:rPr>
        <w:t>月</w:t>
      </w:r>
      <w:r>
        <w:rPr>
          <w:rFonts w:ascii="Times New Roman" w:hAnsi="Times New Roman" w:eastAsia="楷体_GB2312"/>
          <w:sz w:val="32"/>
          <w:szCs w:val="32"/>
        </w:rPr>
        <w:t>—2027</w:t>
      </w:r>
      <w:r>
        <w:rPr>
          <w:rFonts w:hint="eastAsia" w:ascii="楷体_GB2312" w:hAnsi="Times New Roman" w:eastAsia="楷体_GB2312"/>
          <w:sz w:val="32"/>
          <w:szCs w:val="32"/>
        </w:rPr>
        <w:t>年</w:t>
      </w:r>
      <w:r>
        <w:rPr>
          <w:rFonts w:ascii="Times New Roman" w:hAnsi="Times New Roman" w:eastAsia="楷体_GB2312"/>
          <w:sz w:val="32"/>
          <w:szCs w:val="32"/>
        </w:rPr>
        <w:t>1</w:t>
      </w:r>
      <w:r>
        <w:rPr>
          <w:rFonts w:hint="eastAsia" w:ascii="楷体_GB2312" w:hAnsi="Times New Roman" w:eastAsia="楷体_GB2312"/>
          <w:sz w:val="32"/>
          <w:szCs w:val="32"/>
        </w:rPr>
        <w:t>月）</w:t>
      </w:r>
    </w:p>
    <w:p w14:paraId="46451D70">
      <w:pPr>
        <w:autoSpaceDE w:val="0"/>
        <w:spacing w:line="592" w:lineRule="exact"/>
        <w:ind w:firstLine="640" w:firstLineChars="200"/>
        <w:rPr>
          <w:rFonts w:ascii="仿宋_GB2312" w:eastAsia="仿宋_GB2312"/>
          <w:color w:val="000000"/>
          <w:sz w:val="31"/>
          <w:szCs w:val="31"/>
        </w:rPr>
      </w:pPr>
      <w:r>
        <w:rPr>
          <w:rFonts w:hint="eastAsia" w:ascii="仿宋_GB2312" w:hAnsi="Times New Roman" w:eastAsia="仿宋_GB2312"/>
          <w:sz w:val="32"/>
          <w:szCs w:val="32"/>
        </w:rPr>
        <w:t>按照评估内容和标准，</w:t>
      </w:r>
      <w:r>
        <w:rPr>
          <w:rFonts w:ascii="Times New Roman" w:hAnsi="Times New Roman" w:eastAsia="仿宋_GB2312"/>
          <w:sz w:val="32"/>
          <w:szCs w:val="32"/>
        </w:rPr>
        <w:t>2027</w:t>
      </w:r>
      <w:r>
        <w:rPr>
          <w:rFonts w:hint="eastAsia" w:ascii="仿宋_GB2312" w:hAnsi="Times New Roman" w:eastAsia="仿宋_GB2312"/>
          <w:sz w:val="32"/>
          <w:szCs w:val="32"/>
        </w:rPr>
        <w:t>年</w:t>
      </w:r>
      <w:r>
        <w:rPr>
          <w:rFonts w:ascii="Times New Roman" w:hAnsi="Times New Roman" w:eastAsia="仿宋_GB2312"/>
          <w:sz w:val="32"/>
          <w:szCs w:val="32"/>
        </w:rPr>
        <w:t>1</w:t>
      </w:r>
      <w:r>
        <w:rPr>
          <w:rFonts w:hint="eastAsia" w:ascii="仿宋_GB2312" w:hAnsi="Times New Roman" w:eastAsia="仿宋_GB2312"/>
          <w:sz w:val="32"/>
          <w:szCs w:val="32"/>
        </w:rPr>
        <w:t>月底前对全县学前教育普及普惠发展情况进行自查自评，撰写自评报告，整理自评材料。对在自评中发现的问题，制定整改方案、整改任务清单和整改完成时间节点。</w:t>
      </w:r>
    </w:p>
    <w:p w14:paraId="0EDC48DD">
      <w:pPr>
        <w:autoSpaceDE w:val="0"/>
        <w:spacing w:line="592" w:lineRule="exact"/>
        <w:ind w:firstLine="640" w:firstLineChars="200"/>
        <w:rPr>
          <w:rFonts w:ascii="Times New Roman" w:hAnsi="Times New Roman" w:eastAsia="楷体_GB2312"/>
          <w:sz w:val="30"/>
          <w:szCs w:val="30"/>
        </w:rPr>
      </w:pPr>
      <w:r>
        <w:rPr>
          <w:rFonts w:hint="eastAsia" w:ascii="楷体_GB2312" w:hAnsi="Times New Roman" w:eastAsia="楷体_GB2312"/>
          <w:sz w:val="32"/>
          <w:szCs w:val="32"/>
        </w:rPr>
        <w:t>（三）巩固提升阶段（</w:t>
      </w:r>
      <w:r>
        <w:rPr>
          <w:rFonts w:ascii="Times New Roman" w:hAnsi="Times New Roman" w:eastAsia="楷体_GB2312"/>
          <w:sz w:val="32"/>
          <w:szCs w:val="32"/>
        </w:rPr>
        <w:t>2027</w:t>
      </w:r>
      <w:r>
        <w:rPr>
          <w:rFonts w:hint="eastAsia" w:ascii="楷体_GB2312" w:hAnsi="Times New Roman" w:eastAsia="楷体_GB2312"/>
          <w:sz w:val="32"/>
          <w:szCs w:val="32"/>
        </w:rPr>
        <w:t>年</w:t>
      </w:r>
      <w:r>
        <w:rPr>
          <w:rFonts w:ascii="Times New Roman" w:hAnsi="Times New Roman" w:eastAsia="楷体_GB2312"/>
          <w:sz w:val="32"/>
          <w:szCs w:val="32"/>
        </w:rPr>
        <w:t>2</w:t>
      </w:r>
      <w:r>
        <w:rPr>
          <w:rFonts w:hint="eastAsia" w:ascii="楷体_GB2312" w:hAnsi="Times New Roman" w:eastAsia="楷体_GB2312"/>
          <w:sz w:val="32"/>
          <w:szCs w:val="32"/>
        </w:rPr>
        <w:t>月</w:t>
      </w:r>
      <w:r>
        <w:rPr>
          <w:rFonts w:ascii="Times New Roman" w:hAnsi="Times New Roman" w:eastAsia="楷体_GB2312"/>
          <w:sz w:val="32"/>
          <w:szCs w:val="32"/>
        </w:rPr>
        <w:t>—2027</w:t>
      </w:r>
      <w:r>
        <w:rPr>
          <w:rFonts w:hint="eastAsia" w:ascii="楷体_GB2312" w:hAnsi="Times New Roman" w:eastAsia="楷体_GB2312"/>
          <w:sz w:val="32"/>
          <w:szCs w:val="32"/>
        </w:rPr>
        <w:t>年</w:t>
      </w:r>
      <w:r>
        <w:rPr>
          <w:rFonts w:ascii="Times New Roman" w:hAnsi="Times New Roman" w:eastAsia="楷体_GB2312"/>
          <w:sz w:val="32"/>
          <w:szCs w:val="32"/>
        </w:rPr>
        <w:t>12</w:t>
      </w:r>
      <w:r>
        <w:rPr>
          <w:rFonts w:hint="eastAsia" w:ascii="楷体_GB2312" w:hAnsi="Times New Roman" w:eastAsia="楷体_GB2312"/>
          <w:sz w:val="32"/>
          <w:szCs w:val="32"/>
        </w:rPr>
        <w:t>月）</w:t>
      </w:r>
    </w:p>
    <w:p w14:paraId="3409F3D4">
      <w:pPr>
        <w:autoSpaceDE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hAnsi="Times New Roman" w:eastAsia="仿宋_GB2312"/>
          <w:sz w:val="32"/>
          <w:szCs w:val="32"/>
        </w:rPr>
        <w:t>召开会议，听取相关部门县域学前教育普及普惠发展工作进展；</w:t>
      </w:r>
    </w:p>
    <w:p w14:paraId="40E2A9D7">
      <w:pPr>
        <w:autoSpaceDE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仿宋_GB2312" w:hAnsi="Times New Roman" w:eastAsia="仿宋_GB2312"/>
          <w:sz w:val="32"/>
          <w:szCs w:val="32"/>
        </w:rPr>
        <w:t>对县域学前教育普及普惠发展工作进行督导再巩固，对存在的问题进行实地整改。</w:t>
      </w:r>
    </w:p>
    <w:p w14:paraId="251891D8">
      <w:pPr>
        <w:autoSpaceDE w:val="0"/>
        <w:spacing w:line="592" w:lineRule="exact"/>
        <w:ind w:firstLine="640" w:firstLineChars="200"/>
        <w:rPr>
          <w:szCs w:val="21"/>
        </w:rPr>
      </w:pPr>
      <w:r>
        <w:rPr>
          <w:rFonts w:hint="eastAsia" w:ascii="楷体_GB2312" w:eastAsia="楷体_GB2312"/>
          <w:sz w:val="32"/>
          <w:szCs w:val="32"/>
        </w:rPr>
        <w:t>（四）督导评估验收阶段（</w:t>
      </w:r>
      <w:r>
        <w:rPr>
          <w:rFonts w:ascii="Times New Roman" w:hAnsi="Times New Roman" w:eastAsia="楷体_GB2312"/>
          <w:sz w:val="32"/>
          <w:szCs w:val="32"/>
        </w:rPr>
        <w:t>2027</w:t>
      </w:r>
      <w:r>
        <w:rPr>
          <w:rFonts w:hint="eastAsia" w:ascii="楷体_GB2312" w:hAnsi="Times New Roman" w:eastAsia="楷体_GB2312"/>
          <w:sz w:val="32"/>
          <w:szCs w:val="32"/>
        </w:rPr>
        <w:t>年</w:t>
      </w:r>
      <w:r>
        <w:rPr>
          <w:rFonts w:ascii="Times New Roman" w:hAnsi="Times New Roman" w:eastAsia="楷体_GB2312"/>
          <w:sz w:val="32"/>
          <w:szCs w:val="32"/>
        </w:rPr>
        <w:t>12</w:t>
      </w:r>
      <w:r>
        <w:rPr>
          <w:rFonts w:hint="eastAsia" w:ascii="楷体_GB2312" w:hAnsi="Times New Roman" w:eastAsia="楷体_GB2312"/>
          <w:sz w:val="32"/>
          <w:szCs w:val="32"/>
        </w:rPr>
        <w:t>月</w:t>
      </w:r>
      <w:r>
        <w:rPr>
          <w:rFonts w:ascii="Times New Roman" w:hAnsi="Times New Roman" w:eastAsia="楷体_GB2312"/>
          <w:sz w:val="32"/>
          <w:szCs w:val="32"/>
        </w:rPr>
        <w:t>—2028</w:t>
      </w:r>
      <w:r>
        <w:rPr>
          <w:rFonts w:hint="eastAsia" w:ascii="楷体_GB2312" w:hAnsi="Times New Roman" w:eastAsia="楷体_GB2312"/>
          <w:sz w:val="32"/>
          <w:szCs w:val="32"/>
        </w:rPr>
        <w:t>年</w:t>
      </w:r>
      <w:r>
        <w:rPr>
          <w:rFonts w:ascii="Times New Roman" w:hAnsi="Times New Roman" w:eastAsia="楷体_GB2312"/>
          <w:sz w:val="32"/>
          <w:szCs w:val="32"/>
        </w:rPr>
        <w:t>10</w:t>
      </w:r>
      <w:r>
        <w:rPr>
          <w:rFonts w:hint="eastAsia" w:ascii="楷体_GB2312" w:hAnsi="Times New Roman" w:eastAsia="楷体_GB2312"/>
          <w:sz w:val="32"/>
          <w:szCs w:val="32"/>
        </w:rPr>
        <w:t>月</w:t>
      </w:r>
      <w:r>
        <w:rPr>
          <w:rFonts w:hint="eastAsia" w:ascii="楷体_GB2312" w:eastAsia="楷体_GB2312"/>
          <w:sz w:val="32"/>
          <w:szCs w:val="32"/>
        </w:rPr>
        <w:t>）</w:t>
      </w:r>
      <w:r>
        <w:rPr>
          <w:rFonts w:ascii="楷体_GB2312" w:eastAsia="楷体_GB2312"/>
          <w:b/>
          <w:bCs/>
          <w:sz w:val="32"/>
          <w:szCs w:val="32"/>
        </w:rPr>
        <w:t xml:space="preserve">  </w:t>
      </w:r>
      <w:r>
        <w:rPr>
          <w:rFonts w:ascii="Times New Roman" w:hAnsi="Times New Roman" w:eastAsia="仿宋_GB2312"/>
          <w:sz w:val="32"/>
          <w:szCs w:val="32"/>
        </w:rPr>
        <w:t xml:space="preserve"> </w:t>
      </w:r>
    </w:p>
    <w:p w14:paraId="41CACF6C">
      <w:pPr>
        <w:autoSpaceDE w:val="0"/>
        <w:spacing w:line="592"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县政府教育督导委员会办公室于</w:t>
      </w:r>
      <w:r>
        <w:rPr>
          <w:rFonts w:ascii="Times New Roman" w:hAnsi="Times New Roman" w:eastAsia="仿宋_GB2312"/>
          <w:sz w:val="32"/>
          <w:szCs w:val="32"/>
        </w:rPr>
        <w:t>2028</w:t>
      </w:r>
      <w:r>
        <w:rPr>
          <w:rFonts w:hint="eastAsia" w:ascii="仿宋_GB2312" w:hAnsi="Times New Roman" w:eastAsia="仿宋_GB2312"/>
          <w:sz w:val="32"/>
          <w:szCs w:val="32"/>
        </w:rPr>
        <w:t>年</w:t>
      </w:r>
      <w:r>
        <w:rPr>
          <w:rFonts w:ascii="Times New Roman" w:hAnsi="Times New Roman" w:eastAsia="仿宋_GB2312"/>
          <w:sz w:val="32"/>
          <w:szCs w:val="32"/>
        </w:rPr>
        <w:t>4</w:t>
      </w:r>
      <w:r>
        <w:rPr>
          <w:rFonts w:hint="eastAsia" w:ascii="仿宋_GB2312" w:hAnsi="Times New Roman" w:eastAsia="仿宋_GB2312"/>
          <w:sz w:val="32"/>
          <w:szCs w:val="32"/>
        </w:rPr>
        <w:t>月底前向市政府教育督导委员会办公室报送自评</w:t>
      </w:r>
      <w:bookmarkStart w:id="0" w:name="_GoBack"/>
      <w:bookmarkEnd w:id="0"/>
      <w:r>
        <w:rPr>
          <w:rFonts w:hint="eastAsia" w:ascii="仿宋_GB2312" w:hAnsi="Times New Roman" w:eastAsia="仿宋_GB2312"/>
          <w:sz w:val="32"/>
          <w:szCs w:val="32"/>
        </w:rPr>
        <w:t>报告和自评验收材料，提出初核申请。</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8</w:t>
      </w:r>
      <w:r>
        <w:rPr>
          <w:rFonts w:hint="eastAsia" w:ascii="仿宋_GB2312" w:hAnsi="Times New Roman" w:eastAsia="仿宋_GB2312"/>
          <w:sz w:val="32"/>
          <w:szCs w:val="32"/>
        </w:rPr>
        <w:t>年</w:t>
      </w:r>
      <w:r>
        <w:rPr>
          <w:rFonts w:ascii="Times New Roman" w:hAnsi="Times New Roman" w:eastAsia="仿宋_GB2312"/>
          <w:sz w:val="32"/>
          <w:szCs w:val="32"/>
        </w:rPr>
        <w:t>5</w:t>
      </w:r>
      <w:r>
        <w:rPr>
          <w:rFonts w:hint="eastAsia" w:ascii="仿宋_GB2312" w:hAnsi="Times New Roman" w:eastAsia="仿宋_GB2312"/>
          <w:sz w:val="32"/>
          <w:szCs w:val="32"/>
        </w:rPr>
        <w:t>月</w:t>
      </w:r>
      <w:r>
        <w:rPr>
          <w:rFonts w:ascii="Times New Roman" w:hAnsi="Times New Roman" w:eastAsia="仿宋_GB2312"/>
          <w:sz w:val="32"/>
          <w:szCs w:val="32"/>
        </w:rPr>
        <w:t>31</w:t>
      </w:r>
      <w:r>
        <w:rPr>
          <w:rFonts w:hint="eastAsia" w:ascii="仿宋_GB2312" w:hAnsi="Times New Roman" w:eastAsia="仿宋_GB2312"/>
          <w:sz w:val="32"/>
          <w:szCs w:val="32"/>
        </w:rPr>
        <w:t>日前接受市政府教育督导委员会初核；</w:t>
      </w:r>
      <w:r>
        <w:rPr>
          <w:rFonts w:ascii="Times New Roman" w:hAnsi="Times New Roman" w:eastAsia="仿宋_GB2312"/>
          <w:sz w:val="32"/>
          <w:szCs w:val="32"/>
        </w:rPr>
        <w:t>2028</w:t>
      </w:r>
      <w:r>
        <w:rPr>
          <w:rFonts w:hint="eastAsia" w:ascii="仿宋_GB2312" w:hAnsi="Times New Roman" w:eastAsia="仿宋_GB2312"/>
          <w:sz w:val="32"/>
          <w:szCs w:val="32"/>
        </w:rPr>
        <w:t>年</w:t>
      </w:r>
      <w:r>
        <w:rPr>
          <w:rFonts w:ascii="Times New Roman" w:hAnsi="Times New Roman" w:eastAsia="仿宋_GB2312"/>
          <w:sz w:val="32"/>
          <w:szCs w:val="32"/>
        </w:rPr>
        <w:t>6</w:t>
      </w:r>
      <w:r>
        <w:rPr>
          <w:rFonts w:hint="eastAsia" w:ascii="仿宋_GB2312" w:hAnsi="Times New Roman" w:eastAsia="仿宋_GB2312"/>
          <w:sz w:val="32"/>
          <w:szCs w:val="32"/>
        </w:rPr>
        <w:t>月接受省政府教育督导委员会督导评估；</w:t>
      </w:r>
      <w:r>
        <w:rPr>
          <w:rFonts w:ascii="Times New Roman" w:hAnsi="Times New Roman" w:eastAsia="仿宋_GB2312"/>
          <w:sz w:val="32"/>
          <w:szCs w:val="32"/>
        </w:rPr>
        <w:t>2028</w:t>
      </w:r>
      <w:r>
        <w:rPr>
          <w:rFonts w:hint="eastAsia" w:ascii="仿宋_GB2312" w:hAnsi="Times New Roman" w:eastAsia="仿宋_GB2312"/>
          <w:sz w:val="32"/>
          <w:szCs w:val="32"/>
        </w:rPr>
        <w:t>年</w:t>
      </w:r>
      <w:r>
        <w:rPr>
          <w:rFonts w:ascii="Times New Roman" w:hAnsi="Times New Roman" w:eastAsia="仿宋_GB2312"/>
          <w:sz w:val="32"/>
          <w:szCs w:val="32"/>
        </w:rPr>
        <w:t>10</w:t>
      </w:r>
      <w:r>
        <w:rPr>
          <w:rFonts w:hint="eastAsia" w:ascii="仿宋_GB2312" w:hAnsi="Times New Roman" w:eastAsia="仿宋_GB2312"/>
          <w:sz w:val="32"/>
          <w:szCs w:val="32"/>
        </w:rPr>
        <w:t>月前接受教育部评估认定。</w:t>
      </w:r>
    </w:p>
    <w:p w14:paraId="55F67F05">
      <w:pPr>
        <w:autoSpaceDE w:val="0"/>
        <w:spacing w:line="592" w:lineRule="exact"/>
        <w:ind w:firstLine="640" w:firstLineChars="200"/>
        <w:rPr>
          <w:rFonts w:ascii="黑体" w:hAnsi="宋体" w:eastAsia="黑体"/>
          <w:color w:val="000000"/>
          <w:sz w:val="32"/>
          <w:szCs w:val="32"/>
        </w:rPr>
      </w:pPr>
      <w:r>
        <w:rPr>
          <w:rFonts w:hint="eastAsia" w:ascii="黑体" w:hAnsi="黑体" w:eastAsia="黑体"/>
          <w:color w:val="000000"/>
          <w:sz w:val="32"/>
          <w:szCs w:val="32"/>
        </w:rPr>
        <w:t>五、组织保障</w:t>
      </w:r>
      <w:r>
        <w:rPr>
          <w:rFonts w:ascii="黑体" w:hAnsi="宋体" w:eastAsia="黑体"/>
          <w:color w:val="000000"/>
          <w:sz w:val="32"/>
          <w:szCs w:val="32"/>
        </w:rPr>
        <w:t xml:space="preserve"> </w:t>
      </w:r>
    </w:p>
    <w:p w14:paraId="370C7AD6">
      <w:pPr>
        <w:autoSpaceDE w:val="0"/>
        <w:spacing w:line="592" w:lineRule="exact"/>
        <w:ind w:firstLine="640" w:firstLineChars="200"/>
        <w:rPr>
          <w:rFonts w:eastAsia="仿宋_GB2312"/>
          <w:kern w:val="0"/>
          <w:sz w:val="32"/>
          <w:szCs w:val="32"/>
        </w:rPr>
      </w:pPr>
      <w:r>
        <w:rPr>
          <w:rFonts w:hint="eastAsia" w:ascii="楷体_GB2312" w:hAnsi="Times New Roman" w:eastAsia="楷体_GB2312"/>
          <w:kern w:val="0"/>
          <w:sz w:val="32"/>
          <w:szCs w:val="32"/>
        </w:rPr>
        <w:t>（一）加强组织领导。</w:t>
      </w:r>
      <w:r>
        <w:rPr>
          <w:rFonts w:hint="eastAsia" w:ascii="仿宋_GB2312" w:eastAsia="仿宋_GB2312"/>
          <w:kern w:val="0"/>
          <w:sz w:val="32"/>
          <w:szCs w:val="32"/>
        </w:rPr>
        <w:t>加强党对学前教育工作的全面领导，</w:t>
      </w:r>
      <w:r>
        <w:rPr>
          <w:rFonts w:hint="eastAsia" w:ascii="仿宋_GB2312" w:eastAsia="仿宋_GB2312"/>
          <w:sz w:val="32"/>
          <w:szCs w:val="32"/>
        </w:rPr>
        <w:t>列入各级党委政府工作重要议事日程，落实县委常委会议、县政府常务会议、专题会议研究学前教育重点工作机制；全面加强幼儿园党的建设和思想政治工作，确保党的组织、党的工作全覆盖，</w:t>
      </w:r>
      <w:r>
        <w:rPr>
          <w:rFonts w:hint="eastAsia" w:ascii="仿宋_GB2312" w:eastAsia="仿宋_GB2312"/>
          <w:kern w:val="0"/>
          <w:sz w:val="32"/>
          <w:szCs w:val="32"/>
        </w:rPr>
        <w:t>做到党建工作与保教业务同部署、同落实、同考评，厚植立德树人基础。制定推进学前教育普及普惠发展的实施方案，成立领导小组，建立各部门联动机制，确保财政投入、教师编制、普及普惠各项任务完成，顺利通过国家评估认定。</w:t>
      </w:r>
    </w:p>
    <w:p w14:paraId="28EC50E6">
      <w:pPr>
        <w:overflowPunct w:val="0"/>
        <w:autoSpaceDE w:val="0"/>
        <w:adjustRightInd w:val="0"/>
        <w:snapToGrid w:val="0"/>
        <w:spacing w:line="592"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（二）加强统筹协调。</w:t>
      </w:r>
      <w:r>
        <w:rPr>
          <w:rFonts w:hint="eastAsia" w:ascii="仿宋_GB2312" w:hAnsi="Times New Roman" w:eastAsia="仿宋_GB2312"/>
          <w:sz w:val="32"/>
          <w:szCs w:val="32"/>
        </w:rPr>
        <w:t>坚持县政府对学前教育的统筹管理，积极推进学前教育工作，协调相关部门共同解决学前教育发展中的重难点问题。教体局要完善学前教育相关政策标准，充实管理和教研力量，加强指导和监督。编办要做好公办园教职工编制的核定工作。发改委要把学前教育纳入当地经济社会发展规划。财政局要加大对学前教育的投入力度，支持扩大普惠优质学前教育资源。政法委要加强对幼儿园安全保卫工作的指导，依法严厉打击侵害幼儿人身安全的违法犯罪行为。自然资源局、住建局要将城镇小区和新农村配套幼儿园必要建设用地及时纳入相关规划，加强对配套园建设、验收、移交等环节的监管落实。消防救援大队</w:t>
      </w:r>
      <w:r>
        <w:rPr>
          <w:rFonts w:hint="eastAsia" w:ascii="仿宋_GB2312" w:hAnsi="Times New Roman" w:eastAsia="仿宋_GB2312"/>
          <w:sz w:val="32"/>
          <w:szCs w:val="32"/>
          <w:lang w:val="en-US" w:eastAsia="zh-CN"/>
        </w:rPr>
        <w:t>将通过审核验收后投入使用的幼儿园纳入消防监督检查范围</w:t>
      </w:r>
      <w:r>
        <w:rPr>
          <w:rFonts w:hint="eastAsia" w:ascii="仿宋_GB2312" w:hAnsi="Times New Roman" w:eastAsia="仿宋_GB2312"/>
          <w:sz w:val="32"/>
          <w:szCs w:val="32"/>
        </w:rPr>
        <w:t>。其他相关职能部门要按照各自职责，协同做好学前教育各项工作。</w:t>
      </w:r>
    </w:p>
    <w:p w14:paraId="77DD78FE">
      <w:pPr>
        <w:keepNext w:val="0"/>
        <w:keepLines w:val="0"/>
        <w:pageBreakBefore w:val="0"/>
        <w:widowControl w:val="0"/>
        <w:kinsoku/>
        <w:wordWrap/>
        <w:overflowPunct w:val="0"/>
        <w:topLinePunct w:val="0"/>
        <w:autoSpaceDE w:val="0"/>
        <w:autoSpaceDN/>
        <w:bidi w:val="0"/>
        <w:adjustRightInd w:val="0"/>
        <w:snapToGrid w:val="0"/>
        <w:spacing w:line="592" w:lineRule="exact"/>
        <w:ind w:firstLine="640" w:firstLineChars="200"/>
        <w:textAlignment w:val="auto"/>
        <w:rPr>
          <w:rFonts w:ascii="Times New Roman" w:hAnsi="Times New Roman" w:eastAsia="仿宋_GB2312"/>
          <w:sz w:val="32"/>
          <w:szCs w:val="32"/>
        </w:rPr>
      </w:pPr>
      <w:r>
        <w:rPr>
          <w:rFonts w:hint="eastAsia" w:ascii="楷体_GB2312" w:hAnsi="Times New Roman" w:eastAsia="楷体_GB2312"/>
          <w:sz w:val="32"/>
          <w:szCs w:val="32"/>
        </w:rPr>
        <w:t>（三</w:t>
      </w:r>
      <w:r>
        <w:rPr>
          <w:rFonts w:hint="eastAsia" w:ascii="楷体_GB2312" w:hAnsi="Times New Roman" w:eastAsia="楷体_GB2312"/>
          <w:sz w:val="32"/>
          <w:szCs w:val="32"/>
          <w:lang w:eastAsia="zh-CN"/>
        </w:rPr>
        <w:t>）</w:t>
      </w:r>
      <w:r>
        <w:rPr>
          <w:rFonts w:hint="eastAsia" w:ascii="楷体_GB2312" w:hAnsi="Times New Roman" w:eastAsia="楷体_GB2312"/>
          <w:sz w:val="32"/>
          <w:szCs w:val="32"/>
        </w:rPr>
        <w:t>建立激励机制。</w:t>
      </w:r>
      <w:r>
        <w:rPr>
          <w:rFonts w:hint="eastAsia" w:ascii="仿宋_GB2312" w:hAnsi="Times New Roman" w:eastAsia="仿宋_GB2312"/>
          <w:sz w:val="32"/>
          <w:szCs w:val="32"/>
        </w:rPr>
        <w:t>充分发挥学前教育奖补资金导向作用，进一步提高规范化普惠性学前教育的服务能力。</w:t>
      </w:r>
    </w:p>
    <w:p w14:paraId="04BD4B7B">
      <w:pPr>
        <w:keepNext w:val="0"/>
        <w:keepLines w:val="0"/>
        <w:pageBreakBefore w:val="0"/>
        <w:widowControl w:val="0"/>
        <w:kinsoku/>
        <w:wordWrap/>
        <w:overflowPunct w:val="0"/>
        <w:topLinePunct w:val="0"/>
        <w:autoSpaceDE w:val="0"/>
        <w:autoSpaceDN/>
        <w:bidi w:val="0"/>
        <w:adjustRightInd w:val="0"/>
        <w:snapToGrid w:val="0"/>
        <w:spacing w:line="592" w:lineRule="exact"/>
        <w:ind w:firstLine="640" w:firstLineChars="200"/>
        <w:textAlignment w:val="auto"/>
        <w:rPr>
          <w:rFonts w:ascii="Times New Roman" w:hAnsi="Times New Roman" w:eastAsia="仿宋_GB2312"/>
          <w:sz w:val="32"/>
          <w:szCs w:val="32"/>
        </w:rPr>
      </w:pPr>
      <w:r>
        <w:rPr>
          <w:rFonts w:hint="eastAsia" w:ascii="楷体_GB2312" w:hAnsi="Times New Roman" w:eastAsia="楷体_GB2312"/>
          <w:sz w:val="32"/>
          <w:szCs w:val="32"/>
        </w:rPr>
        <w:t>（四）严格督导考核。</w:t>
      </w:r>
      <w:r>
        <w:rPr>
          <w:rFonts w:hint="eastAsia" w:ascii="仿宋_GB2312" w:hAnsi="Times New Roman" w:eastAsia="仿宋_GB2312"/>
          <w:sz w:val="32"/>
          <w:szCs w:val="32"/>
        </w:rPr>
        <w:t>扎实推进县域学前教育普及普惠发展督导评估工作，压实政府责任，完善督导问责机制。将学前教育普及普惠目标任务落实情况，纳入对各乡镇、有关部门、各履行教育职责评价和县域学前教育普及普惠督导评估重要内容，定期督导评估，推动学前教育高质量发展。</w:t>
      </w:r>
    </w:p>
    <w:p w14:paraId="11587993">
      <w:pPr>
        <w:pStyle w:val="35"/>
        <w:keepNext w:val="0"/>
        <w:keepLines w:val="0"/>
        <w:pageBreakBefore w:val="0"/>
        <w:widowControl w:val="0"/>
        <w:kinsoku/>
        <w:wordWrap/>
        <w:overflowPunct w:val="0"/>
        <w:topLinePunct w:val="0"/>
        <w:autoSpaceDE w:val="0"/>
        <w:autoSpaceDN/>
        <w:bidi w:val="0"/>
        <w:adjustRightInd/>
        <w:snapToGrid/>
        <w:spacing w:line="592" w:lineRule="exact"/>
        <w:ind w:firstLine="640"/>
        <w:textAlignment w:val="auto"/>
        <w:rPr>
          <w:rFonts w:ascii="Times New Roman" w:hAnsi="Times New Roman" w:eastAsia="仿宋_GB2312"/>
          <w:sz w:val="32"/>
          <w:szCs w:val="32"/>
        </w:rPr>
      </w:pPr>
      <w:r>
        <w:rPr>
          <w:rFonts w:hint="eastAsia" w:ascii="楷体_GB2312" w:eastAsia="楷体_GB2312"/>
          <w:sz w:val="32"/>
          <w:szCs w:val="32"/>
        </w:rPr>
        <w:t>（五）营造良好氛围。</w:t>
      </w:r>
      <w:r>
        <w:rPr>
          <w:rFonts w:hint="eastAsia" w:hAnsi="Times New Roman" w:eastAsia="仿宋_GB2312"/>
          <w:sz w:val="32"/>
          <w:szCs w:val="32"/>
        </w:rPr>
        <w:t>充分利用各类宣传媒体及学前教育宣传月等宣传教育活动等，采取多种形式，广泛宣传学前教育法规、政策和发展学前教育的经验做法，广泛传播科学育儿理念与知识，大力营造全社会关心支持学前教育的良好氛围。</w:t>
      </w:r>
    </w:p>
    <w:p w14:paraId="6A066CC0">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0663B5B6">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074E5A20">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59C3BF92">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1AD857D6">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29BE7D79">
      <w:pPr>
        <w:pStyle w:val="11"/>
        <w:widowControl/>
        <w:spacing w:beforeAutospacing="0" w:afterAutospacing="0" w:line="592" w:lineRule="exact"/>
        <w:ind w:firstLine="640" w:firstLineChars="200"/>
        <w:jc w:val="right"/>
        <w:textAlignment w:val="top"/>
        <w:rPr>
          <w:rFonts w:ascii="Times New Roman" w:hAnsi="Times New Roman" w:eastAsia="仿宋_GB2312"/>
          <w:sz w:val="32"/>
          <w:szCs w:val="32"/>
        </w:rPr>
      </w:pPr>
    </w:p>
    <w:p w14:paraId="6987D53E">
      <w:pPr>
        <w:pStyle w:val="11"/>
        <w:widowControl/>
        <w:spacing w:beforeAutospacing="0" w:afterAutospacing="0" w:line="592" w:lineRule="exact"/>
        <w:jc w:val="both"/>
        <w:textAlignment w:val="top"/>
        <w:rPr>
          <w:rFonts w:ascii="Times New Roman" w:hAnsi="Times New Roman" w:eastAsia="仿宋_GB2312"/>
          <w:sz w:val="32"/>
          <w:szCs w:val="32"/>
        </w:rPr>
      </w:pPr>
    </w:p>
    <w:p w14:paraId="47AC377A">
      <w:pPr>
        <w:spacing w:line="600" w:lineRule="exact"/>
        <w:ind w:left="210" w:leftChars="100" w:right="210" w:rightChars="100"/>
        <w:jc w:val="left"/>
        <w:rPr>
          <w:rFonts w:ascii="Times New Roman" w:hAnsi="Times New Roman" w:eastAsia="仿宋_GB2312"/>
          <w:sz w:val="28"/>
          <w:szCs w:val="28"/>
        </w:rPr>
      </w:pPr>
    </w:p>
    <w:sectPr>
      <w:footerReference r:id="rId3" w:type="default"/>
      <w:pgSz w:w="11906" w:h="16838"/>
      <w:pgMar w:top="1871" w:right="1474"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010A">
    <w:pPr>
      <w:pStyle w:val="8"/>
    </w:pPr>
    <w:r>
      <w:pict>
        <v:shape id="文本框 3"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YyIruSICAAA3BAAADgAAAAAAAAABACAAAAA1AQAAZHJzL2Uyb0RvYy54&#10;bWxQSwUGAAAAAAYABgBZAQAAyQUAAAAA&#10;">
          <v:path/>
          <v:fill on="f" focussize="0,0"/>
          <v:stroke on="f" weight="0.5pt" joinstyle="miter"/>
          <v:imagedata o:title=""/>
          <o:lock v:ext="edit"/>
          <v:textbox inset="0mm,0mm,0mm,0mm" style="mso-fit-shape-to-text:t;">
            <w:txbxContent>
              <w:p w14:paraId="0EEEA75A">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Q4NGQyMWU2OTIwMGY5NmY4YTI1MzFjNzZmY2Q2MzMifQ=="/>
  </w:docVars>
  <w:rsids>
    <w:rsidRoot w:val="02393FA4"/>
    <w:rsid w:val="0002256C"/>
    <w:rsid w:val="00033F50"/>
    <w:rsid w:val="00034066"/>
    <w:rsid w:val="00084F9F"/>
    <w:rsid w:val="00107C4A"/>
    <w:rsid w:val="001103C0"/>
    <w:rsid w:val="0013239F"/>
    <w:rsid w:val="00196F1E"/>
    <w:rsid w:val="001B7D7D"/>
    <w:rsid w:val="001C1CF2"/>
    <w:rsid w:val="001C44CD"/>
    <w:rsid w:val="002210A0"/>
    <w:rsid w:val="002426F0"/>
    <w:rsid w:val="0025413D"/>
    <w:rsid w:val="002A7C8E"/>
    <w:rsid w:val="002F7CDC"/>
    <w:rsid w:val="00303623"/>
    <w:rsid w:val="00336354"/>
    <w:rsid w:val="0036453D"/>
    <w:rsid w:val="003C7FB2"/>
    <w:rsid w:val="003E0792"/>
    <w:rsid w:val="003F5AE6"/>
    <w:rsid w:val="00466396"/>
    <w:rsid w:val="004E7F66"/>
    <w:rsid w:val="005313AA"/>
    <w:rsid w:val="00561134"/>
    <w:rsid w:val="005A2D64"/>
    <w:rsid w:val="005C6D7D"/>
    <w:rsid w:val="005D3842"/>
    <w:rsid w:val="00630CD2"/>
    <w:rsid w:val="00631543"/>
    <w:rsid w:val="00637205"/>
    <w:rsid w:val="00657A09"/>
    <w:rsid w:val="00670109"/>
    <w:rsid w:val="006D68FA"/>
    <w:rsid w:val="00702690"/>
    <w:rsid w:val="007578DC"/>
    <w:rsid w:val="007A44DF"/>
    <w:rsid w:val="007C764D"/>
    <w:rsid w:val="007D266C"/>
    <w:rsid w:val="007E2123"/>
    <w:rsid w:val="0080247A"/>
    <w:rsid w:val="008213A3"/>
    <w:rsid w:val="008745B9"/>
    <w:rsid w:val="00927636"/>
    <w:rsid w:val="009305A6"/>
    <w:rsid w:val="0095458F"/>
    <w:rsid w:val="009677BD"/>
    <w:rsid w:val="009765D8"/>
    <w:rsid w:val="0098724C"/>
    <w:rsid w:val="009D0ED3"/>
    <w:rsid w:val="00A541D2"/>
    <w:rsid w:val="00A8583F"/>
    <w:rsid w:val="00A94964"/>
    <w:rsid w:val="00AB0A2A"/>
    <w:rsid w:val="00AB589C"/>
    <w:rsid w:val="00AC60CA"/>
    <w:rsid w:val="00B4089A"/>
    <w:rsid w:val="00B6340A"/>
    <w:rsid w:val="00B824D8"/>
    <w:rsid w:val="00C02F90"/>
    <w:rsid w:val="00CE3429"/>
    <w:rsid w:val="00CF04C6"/>
    <w:rsid w:val="00CF15D1"/>
    <w:rsid w:val="00D14F22"/>
    <w:rsid w:val="00E2098B"/>
    <w:rsid w:val="00E55FB4"/>
    <w:rsid w:val="00E73553"/>
    <w:rsid w:val="00E76644"/>
    <w:rsid w:val="00E80A88"/>
    <w:rsid w:val="00EF195B"/>
    <w:rsid w:val="00F66170"/>
    <w:rsid w:val="00F95DD7"/>
    <w:rsid w:val="00FD4283"/>
    <w:rsid w:val="015123B9"/>
    <w:rsid w:val="02393FA4"/>
    <w:rsid w:val="02AD1871"/>
    <w:rsid w:val="03642004"/>
    <w:rsid w:val="06C278B5"/>
    <w:rsid w:val="0781151E"/>
    <w:rsid w:val="090D12BC"/>
    <w:rsid w:val="0BB71621"/>
    <w:rsid w:val="0CE00A95"/>
    <w:rsid w:val="0E4312DC"/>
    <w:rsid w:val="0EAF5ABE"/>
    <w:rsid w:val="0EF50B08"/>
    <w:rsid w:val="0F1C63B4"/>
    <w:rsid w:val="0FF705D0"/>
    <w:rsid w:val="1069217B"/>
    <w:rsid w:val="10D3410C"/>
    <w:rsid w:val="10F22B45"/>
    <w:rsid w:val="1233332D"/>
    <w:rsid w:val="14322B58"/>
    <w:rsid w:val="14DEACDA"/>
    <w:rsid w:val="15D849FF"/>
    <w:rsid w:val="17363F03"/>
    <w:rsid w:val="176FEE75"/>
    <w:rsid w:val="18F51424"/>
    <w:rsid w:val="1A644AB4"/>
    <w:rsid w:val="1B04296F"/>
    <w:rsid w:val="1B7A1551"/>
    <w:rsid w:val="1D7F3497"/>
    <w:rsid w:val="1DFFEE6C"/>
    <w:rsid w:val="1EE844F7"/>
    <w:rsid w:val="1F7483D1"/>
    <w:rsid w:val="1FDCFDF7"/>
    <w:rsid w:val="1FF3A63B"/>
    <w:rsid w:val="1FF42436"/>
    <w:rsid w:val="1FFBDC8E"/>
    <w:rsid w:val="217F561E"/>
    <w:rsid w:val="23072480"/>
    <w:rsid w:val="2513335E"/>
    <w:rsid w:val="275778A4"/>
    <w:rsid w:val="27E6377F"/>
    <w:rsid w:val="27FBA31A"/>
    <w:rsid w:val="281A0EA7"/>
    <w:rsid w:val="291D29FD"/>
    <w:rsid w:val="2B8A406D"/>
    <w:rsid w:val="2BFE1EBA"/>
    <w:rsid w:val="2C64522E"/>
    <w:rsid w:val="2C7E7C57"/>
    <w:rsid w:val="2C7F1F1F"/>
    <w:rsid w:val="2CBDF36C"/>
    <w:rsid w:val="2FABA5C6"/>
    <w:rsid w:val="2FDBCE90"/>
    <w:rsid w:val="2FEFD22C"/>
    <w:rsid w:val="32B27FE1"/>
    <w:rsid w:val="32E2033A"/>
    <w:rsid w:val="32FFCA97"/>
    <w:rsid w:val="33FDE7E3"/>
    <w:rsid w:val="341BBB7E"/>
    <w:rsid w:val="355F418B"/>
    <w:rsid w:val="35DD39D0"/>
    <w:rsid w:val="35FC16DF"/>
    <w:rsid w:val="36751848"/>
    <w:rsid w:val="37A4078E"/>
    <w:rsid w:val="37ADD16A"/>
    <w:rsid w:val="37CFBF96"/>
    <w:rsid w:val="37E62B54"/>
    <w:rsid w:val="37FC0A5E"/>
    <w:rsid w:val="3ACF78CF"/>
    <w:rsid w:val="3AF71E4E"/>
    <w:rsid w:val="3B57D3CD"/>
    <w:rsid w:val="3B7F5A76"/>
    <w:rsid w:val="3BBD9886"/>
    <w:rsid w:val="3BBF5B96"/>
    <w:rsid w:val="3BE513EF"/>
    <w:rsid w:val="3BEFDB20"/>
    <w:rsid w:val="3BFD956D"/>
    <w:rsid w:val="3C77021F"/>
    <w:rsid w:val="3CDFEFA4"/>
    <w:rsid w:val="3CEFA770"/>
    <w:rsid w:val="3DBD6105"/>
    <w:rsid w:val="3DEB0525"/>
    <w:rsid w:val="3E931230"/>
    <w:rsid w:val="3F53C14B"/>
    <w:rsid w:val="3F7B97A2"/>
    <w:rsid w:val="3F7D2D5C"/>
    <w:rsid w:val="3F7F73CF"/>
    <w:rsid w:val="3F7FF7EA"/>
    <w:rsid w:val="3FCF984A"/>
    <w:rsid w:val="3FDF8E3E"/>
    <w:rsid w:val="3FEF9C9E"/>
    <w:rsid w:val="3FFE8A4C"/>
    <w:rsid w:val="407A652F"/>
    <w:rsid w:val="45F91CA4"/>
    <w:rsid w:val="489F6B33"/>
    <w:rsid w:val="4AFEF120"/>
    <w:rsid w:val="4B337A07"/>
    <w:rsid w:val="4BDF11A9"/>
    <w:rsid w:val="4BF2D13F"/>
    <w:rsid w:val="4C4179AC"/>
    <w:rsid w:val="4CC96874"/>
    <w:rsid w:val="4D3A507C"/>
    <w:rsid w:val="4DB58485"/>
    <w:rsid w:val="4DD6F799"/>
    <w:rsid w:val="4F6BA40B"/>
    <w:rsid w:val="4FCF5981"/>
    <w:rsid w:val="4FF5A8B2"/>
    <w:rsid w:val="5010221F"/>
    <w:rsid w:val="53E2021C"/>
    <w:rsid w:val="541D74A6"/>
    <w:rsid w:val="55DD601F"/>
    <w:rsid w:val="55DE14CA"/>
    <w:rsid w:val="56CE4A87"/>
    <w:rsid w:val="56FEA410"/>
    <w:rsid w:val="577ED145"/>
    <w:rsid w:val="57AC06F2"/>
    <w:rsid w:val="57CE4A98"/>
    <w:rsid w:val="58EF1411"/>
    <w:rsid w:val="59746E8F"/>
    <w:rsid w:val="5A762373"/>
    <w:rsid w:val="5AA13AED"/>
    <w:rsid w:val="5AEB9A79"/>
    <w:rsid w:val="5B3ADE52"/>
    <w:rsid w:val="5B4F4545"/>
    <w:rsid w:val="5BAF4E4B"/>
    <w:rsid w:val="5CA2679A"/>
    <w:rsid w:val="5D795AFC"/>
    <w:rsid w:val="5D973E25"/>
    <w:rsid w:val="5DAD3D11"/>
    <w:rsid w:val="5DFB78AD"/>
    <w:rsid w:val="5EDD87BD"/>
    <w:rsid w:val="5EFDD53F"/>
    <w:rsid w:val="5FA5E221"/>
    <w:rsid w:val="5FA7545B"/>
    <w:rsid w:val="5FDDC2FF"/>
    <w:rsid w:val="5FEF107F"/>
    <w:rsid w:val="5FFE719C"/>
    <w:rsid w:val="633B16F7"/>
    <w:rsid w:val="634560D1"/>
    <w:rsid w:val="65D6745D"/>
    <w:rsid w:val="661E0320"/>
    <w:rsid w:val="663F1497"/>
    <w:rsid w:val="667B4C0C"/>
    <w:rsid w:val="66FFE526"/>
    <w:rsid w:val="67513297"/>
    <w:rsid w:val="677EE0FE"/>
    <w:rsid w:val="677F0057"/>
    <w:rsid w:val="677F6056"/>
    <w:rsid w:val="67BEB1F5"/>
    <w:rsid w:val="67BF25DC"/>
    <w:rsid w:val="67E77042"/>
    <w:rsid w:val="68863414"/>
    <w:rsid w:val="689BDB19"/>
    <w:rsid w:val="68FD3460"/>
    <w:rsid w:val="68FDB84B"/>
    <w:rsid w:val="6A34330C"/>
    <w:rsid w:val="6AAF347E"/>
    <w:rsid w:val="6B1E8725"/>
    <w:rsid w:val="6B4C26F3"/>
    <w:rsid w:val="6C9F0C36"/>
    <w:rsid w:val="6CFFF24F"/>
    <w:rsid w:val="6D602485"/>
    <w:rsid w:val="6D99E232"/>
    <w:rsid w:val="6DFDCCFF"/>
    <w:rsid w:val="6E8729EC"/>
    <w:rsid w:val="6EBF1ECD"/>
    <w:rsid w:val="6F2936EC"/>
    <w:rsid w:val="6F7AB67A"/>
    <w:rsid w:val="6F7F8127"/>
    <w:rsid w:val="6FB72105"/>
    <w:rsid w:val="6FB7F30E"/>
    <w:rsid w:val="6FB86680"/>
    <w:rsid w:val="6FBF40D8"/>
    <w:rsid w:val="6FD791DD"/>
    <w:rsid w:val="6FF72627"/>
    <w:rsid w:val="6FF736B7"/>
    <w:rsid w:val="6FF7393F"/>
    <w:rsid w:val="6FFEB803"/>
    <w:rsid w:val="6FFF33BF"/>
    <w:rsid w:val="6FFFB2A3"/>
    <w:rsid w:val="700F0193"/>
    <w:rsid w:val="702F5C92"/>
    <w:rsid w:val="718D75C1"/>
    <w:rsid w:val="72E94CCB"/>
    <w:rsid w:val="735F04C2"/>
    <w:rsid w:val="73ED7DAD"/>
    <w:rsid w:val="73FD9054"/>
    <w:rsid w:val="740D5BA2"/>
    <w:rsid w:val="7427792E"/>
    <w:rsid w:val="743E5679"/>
    <w:rsid w:val="74CF7934"/>
    <w:rsid w:val="755DC596"/>
    <w:rsid w:val="757F984E"/>
    <w:rsid w:val="75BA6D1A"/>
    <w:rsid w:val="75DDBE54"/>
    <w:rsid w:val="75DF4FDE"/>
    <w:rsid w:val="75DF8A0C"/>
    <w:rsid w:val="75F7937B"/>
    <w:rsid w:val="75FFECF7"/>
    <w:rsid w:val="760C7509"/>
    <w:rsid w:val="769F0158"/>
    <w:rsid w:val="76EF1714"/>
    <w:rsid w:val="76FF45DA"/>
    <w:rsid w:val="773329B9"/>
    <w:rsid w:val="775F5454"/>
    <w:rsid w:val="776EE878"/>
    <w:rsid w:val="777B8E24"/>
    <w:rsid w:val="777C7EBC"/>
    <w:rsid w:val="777D960B"/>
    <w:rsid w:val="77C3B63D"/>
    <w:rsid w:val="77DF6435"/>
    <w:rsid w:val="77EFC903"/>
    <w:rsid w:val="77FB1FC5"/>
    <w:rsid w:val="77FB9869"/>
    <w:rsid w:val="77FD703E"/>
    <w:rsid w:val="79AC46D3"/>
    <w:rsid w:val="79C7BC06"/>
    <w:rsid w:val="79DCC5B4"/>
    <w:rsid w:val="79EE1A42"/>
    <w:rsid w:val="79FD5479"/>
    <w:rsid w:val="7A8C2B0C"/>
    <w:rsid w:val="7ADEB7EE"/>
    <w:rsid w:val="7B365F4C"/>
    <w:rsid w:val="7B377FA6"/>
    <w:rsid w:val="7B5769F0"/>
    <w:rsid w:val="7B5B89DA"/>
    <w:rsid w:val="7B6FF952"/>
    <w:rsid w:val="7B7C9F50"/>
    <w:rsid w:val="7B7D9ABC"/>
    <w:rsid w:val="7BDC5396"/>
    <w:rsid w:val="7BDF7CF1"/>
    <w:rsid w:val="7BF7D84D"/>
    <w:rsid w:val="7BFF179A"/>
    <w:rsid w:val="7BFF7547"/>
    <w:rsid w:val="7CBC84D5"/>
    <w:rsid w:val="7D7FC275"/>
    <w:rsid w:val="7DB95326"/>
    <w:rsid w:val="7DBFBDA9"/>
    <w:rsid w:val="7DC7318F"/>
    <w:rsid w:val="7DE09869"/>
    <w:rsid w:val="7DEE2FDA"/>
    <w:rsid w:val="7DEED34D"/>
    <w:rsid w:val="7DEFEEA6"/>
    <w:rsid w:val="7DF43B0B"/>
    <w:rsid w:val="7DF7DA99"/>
    <w:rsid w:val="7DFE14AF"/>
    <w:rsid w:val="7DFE59C9"/>
    <w:rsid w:val="7E4D390D"/>
    <w:rsid w:val="7E774408"/>
    <w:rsid w:val="7E7F3DFB"/>
    <w:rsid w:val="7E7F4735"/>
    <w:rsid w:val="7E9F102E"/>
    <w:rsid w:val="7EA73514"/>
    <w:rsid w:val="7EDF2A99"/>
    <w:rsid w:val="7EF721B6"/>
    <w:rsid w:val="7EFDD354"/>
    <w:rsid w:val="7EFF5559"/>
    <w:rsid w:val="7F373AE3"/>
    <w:rsid w:val="7F3EFD09"/>
    <w:rsid w:val="7F5D4083"/>
    <w:rsid w:val="7F7E67CA"/>
    <w:rsid w:val="7F89161A"/>
    <w:rsid w:val="7F8C2893"/>
    <w:rsid w:val="7FAFE3F2"/>
    <w:rsid w:val="7FBBC407"/>
    <w:rsid w:val="7FBF46AD"/>
    <w:rsid w:val="7FBF66AA"/>
    <w:rsid w:val="7FBFE5B3"/>
    <w:rsid w:val="7FD6B099"/>
    <w:rsid w:val="7FD794E9"/>
    <w:rsid w:val="7FDAAA44"/>
    <w:rsid w:val="7FDFBCD2"/>
    <w:rsid w:val="7FE4B108"/>
    <w:rsid w:val="7FE6B254"/>
    <w:rsid w:val="7FEA5FD9"/>
    <w:rsid w:val="7FEBF50F"/>
    <w:rsid w:val="7FF3D73B"/>
    <w:rsid w:val="7FF3DCBA"/>
    <w:rsid w:val="7FF7A48C"/>
    <w:rsid w:val="7FFCD3D6"/>
    <w:rsid w:val="7FFF7065"/>
    <w:rsid w:val="7FFF8686"/>
    <w:rsid w:val="7FFF89BF"/>
    <w:rsid w:val="7FFFBBFC"/>
    <w:rsid w:val="837F4FC1"/>
    <w:rsid w:val="8B2B99BB"/>
    <w:rsid w:val="8BEFCDEF"/>
    <w:rsid w:val="8BF6BE7D"/>
    <w:rsid w:val="8FDF75BB"/>
    <w:rsid w:val="8FF7B8AC"/>
    <w:rsid w:val="95D66CE7"/>
    <w:rsid w:val="96FF3BA5"/>
    <w:rsid w:val="97DAF7DC"/>
    <w:rsid w:val="97FF1E07"/>
    <w:rsid w:val="9B7ECD5F"/>
    <w:rsid w:val="9DAB5BCF"/>
    <w:rsid w:val="9DFF5FA9"/>
    <w:rsid w:val="9EFD3FFD"/>
    <w:rsid w:val="9FBD7C49"/>
    <w:rsid w:val="A43F46A4"/>
    <w:rsid w:val="A73312E0"/>
    <w:rsid w:val="A76FA4CD"/>
    <w:rsid w:val="A9C72098"/>
    <w:rsid w:val="AAFE6C95"/>
    <w:rsid w:val="AB9F0CD8"/>
    <w:rsid w:val="ABD666BD"/>
    <w:rsid w:val="ABDEEB6F"/>
    <w:rsid w:val="AD5F5AE9"/>
    <w:rsid w:val="AEF9FEC6"/>
    <w:rsid w:val="AEFF2056"/>
    <w:rsid w:val="AF7DCB0C"/>
    <w:rsid w:val="AFDB344D"/>
    <w:rsid w:val="AFDF0692"/>
    <w:rsid w:val="B773380F"/>
    <w:rsid w:val="B7BF53EF"/>
    <w:rsid w:val="B7F43ED0"/>
    <w:rsid w:val="B85D85F0"/>
    <w:rsid w:val="B9BF0662"/>
    <w:rsid w:val="BACA9412"/>
    <w:rsid w:val="BB7DF4BE"/>
    <w:rsid w:val="BBB3C501"/>
    <w:rsid w:val="BBB760B4"/>
    <w:rsid w:val="BBBFEE13"/>
    <w:rsid w:val="BBEB9D0B"/>
    <w:rsid w:val="BBED3716"/>
    <w:rsid w:val="BBFEBEDF"/>
    <w:rsid w:val="BBFF5417"/>
    <w:rsid w:val="BDDAFC92"/>
    <w:rsid w:val="BE7F7886"/>
    <w:rsid w:val="BE9F6B00"/>
    <w:rsid w:val="BEBB6424"/>
    <w:rsid w:val="BF5DAD3B"/>
    <w:rsid w:val="BFBF95DB"/>
    <w:rsid w:val="BFEB19D6"/>
    <w:rsid w:val="BFEF8640"/>
    <w:rsid w:val="BFFB02DA"/>
    <w:rsid w:val="BFFD048D"/>
    <w:rsid w:val="BFFD397D"/>
    <w:rsid w:val="C553DD63"/>
    <w:rsid w:val="C8736A23"/>
    <w:rsid w:val="C97E7E95"/>
    <w:rsid w:val="CA5FD20D"/>
    <w:rsid w:val="CF2D957D"/>
    <w:rsid w:val="CFE4F246"/>
    <w:rsid w:val="CFF6C440"/>
    <w:rsid w:val="CFFF3A1A"/>
    <w:rsid w:val="D2FF49C9"/>
    <w:rsid w:val="D37FE46A"/>
    <w:rsid w:val="D3A7FF00"/>
    <w:rsid w:val="D4AF131B"/>
    <w:rsid w:val="D55CB729"/>
    <w:rsid w:val="D76C7EC5"/>
    <w:rsid w:val="D77B3CED"/>
    <w:rsid w:val="D7F70C91"/>
    <w:rsid w:val="D9792F38"/>
    <w:rsid w:val="DA8B358A"/>
    <w:rsid w:val="DABF8568"/>
    <w:rsid w:val="DACE99CC"/>
    <w:rsid w:val="DAFAC384"/>
    <w:rsid w:val="DB6FF2A0"/>
    <w:rsid w:val="DBBE8B19"/>
    <w:rsid w:val="DBF7EFF6"/>
    <w:rsid w:val="DD6BC037"/>
    <w:rsid w:val="DD7F6B89"/>
    <w:rsid w:val="DD9F2297"/>
    <w:rsid w:val="DDFCA719"/>
    <w:rsid w:val="DF7F27BC"/>
    <w:rsid w:val="DF8FEDAF"/>
    <w:rsid w:val="DF98EBA2"/>
    <w:rsid w:val="DFBBDD1B"/>
    <w:rsid w:val="DFFE76DF"/>
    <w:rsid w:val="DFFF18D8"/>
    <w:rsid w:val="E1BF1ACF"/>
    <w:rsid w:val="E2FCB451"/>
    <w:rsid w:val="E2FDFBE0"/>
    <w:rsid w:val="E3F752CB"/>
    <w:rsid w:val="E5AFD742"/>
    <w:rsid w:val="E5F38683"/>
    <w:rsid w:val="E76F493F"/>
    <w:rsid w:val="E7995E81"/>
    <w:rsid w:val="E79AB12A"/>
    <w:rsid w:val="E7AF5136"/>
    <w:rsid w:val="E7E77F2C"/>
    <w:rsid w:val="E7FBFAD1"/>
    <w:rsid w:val="E9FE0620"/>
    <w:rsid w:val="E9FF2629"/>
    <w:rsid w:val="EAC79289"/>
    <w:rsid w:val="EADB20F0"/>
    <w:rsid w:val="EBDDADDC"/>
    <w:rsid w:val="ED1FA29A"/>
    <w:rsid w:val="ED522802"/>
    <w:rsid w:val="ED9F5E82"/>
    <w:rsid w:val="EE76E7A4"/>
    <w:rsid w:val="EE975C9F"/>
    <w:rsid w:val="EEBC950F"/>
    <w:rsid w:val="EEFF96F1"/>
    <w:rsid w:val="EF39AB30"/>
    <w:rsid w:val="EF3D0430"/>
    <w:rsid w:val="EF3D6CC7"/>
    <w:rsid w:val="EF7D3D98"/>
    <w:rsid w:val="EF9B967D"/>
    <w:rsid w:val="EFAD4E1B"/>
    <w:rsid w:val="EFBBD42C"/>
    <w:rsid w:val="EFBD6488"/>
    <w:rsid w:val="EFBF2F23"/>
    <w:rsid w:val="EFBF7F31"/>
    <w:rsid w:val="EFDFE146"/>
    <w:rsid w:val="EFE988BF"/>
    <w:rsid w:val="EFF3778F"/>
    <w:rsid w:val="EFFF7051"/>
    <w:rsid w:val="F12B3FAA"/>
    <w:rsid w:val="F2BF0B95"/>
    <w:rsid w:val="F2FF0560"/>
    <w:rsid w:val="F35FBFE7"/>
    <w:rsid w:val="F37E1E7C"/>
    <w:rsid w:val="F38FE3BA"/>
    <w:rsid w:val="F3D7AB6C"/>
    <w:rsid w:val="F3F98B3D"/>
    <w:rsid w:val="F3FE459A"/>
    <w:rsid w:val="F3FF8DDC"/>
    <w:rsid w:val="F44E8154"/>
    <w:rsid w:val="F46FF159"/>
    <w:rsid w:val="F47A6139"/>
    <w:rsid w:val="F57D5F41"/>
    <w:rsid w:val="F5DD9C2F"/>
    <w:rsid w:val="F5DEF144"/>
    <w:rsid w:val="F5F64CAF"/>
    <w:rsid w:val="F6BB1235"/>
    <w:rsid w:val="F6D57D3C"/>
    <w:rsid w:val="F74E54C9"/>
    <w:rsid w:val="F77E6457"/>
    <w:rsid w:val="F77F00A2"/>
    <w:rsid w:val="F79B133E"/>
    <w:rsid w:val="F7BF42ED"/>
    <w:rsid w:val="F7D78BCE"/>
    <w:rsid w:val="F7D97C5F"/>
    <w:rsid w:val="F7DF82EB"/>
    <w:rsid w:val="F7DFEA1B"/>
    <w:rsid w:val="F7E7B4BB"/>
    <w:rsid w:val="F7FF732F"/>
    <w:rsid w:val="F7FF7880"/>
    <w:rsid w:val="F87AFBC8"/>
    <w:rsid w:val="F97AFAD3"/>
    <w:rsid w:val="F9CF8CB2"/>
    <w:rsid w:val="F9F28DCC"/>
    <w:rsid w:val="FA7E636A"/>
    <w:rsid w:val="FACF8A41"/>
    <w:rsid w:val="FAE6A89F"/>
    <w:rsid w:val="FAFBF6EC"/>
    <w:rsid w:val="FB1BDC01"/>
    <w:rsid w:val="FB797D9B"/>
    <w:rsid w:val="FB810C48"/>
    <w:rsid w:val="FBB6C431"/>
    <w:rsid w:val="FBC7CE26"/>
    <w:rsid w:val="FBC90456"/>
    <w:rsid w:val="FBEB1130"/>
    <w:rsid w:val="FBF92802"/>
    <w:rsid w:val="FBFC5C2A"/>
    <w:rsid w:val="FCEBE11B"/>
    <w:rsid w:val="FCFBEAE7"/>
    <w:rsid w:val="FD03E6E6"/>
    <w:rsid w:val="FD2AFD4D"/>
    <w:rsid w:val="FDABA8D4"/>
    <w:rsid w:val="FDC7A724"/>
    <w:rsid w:val="FDCD4850"/>
    <w:rsid w:val="FDFBFCBF"/>
    <w:rsid w:val="FDFD6F77"/>
    <w:rsid w:val="FDFED9C7"/>
    <w:rsid w:val="FDFF0F7D"/>
    <w:rsid w:val="FDFF2037"/>
    <w:rsid w:val="FE3BD4A2"/>
    <w:rsid w:val="FE3F9B6C"/>
    <w:rsid w:val="FE57494E"/>
    <w:rsid w:val="FEAB3A69"/>
    <w:rsid w:val="FEBEC1BC"/>
    <w:rsid w:val="FEE78178"/>
    <w:rsid w:val="FEEFAB33"/>
    <w:rsid w:val="FEF99F05"/>
    <w:rsid w:val="FEFD56D6"/>
    <w:rsid w:val="FEFFE132"/>
    <w:rsid w:val="FF07FA48"/>
    <w:rsid w:val="FF0E51DD"/>
    <w:rsid w:val="FF3AB5F0"/>
    <w:rsid w:val="FF3E663C"/>
    <w:rsid w:val="FF3EECB6"/>
    <w:rsid w:val="FF5E459D"/>
    <w:rsid w:val="FF5FB0AE"/>
    <w:rsid w:val="FF65265C"/>
    <w:rsid w:val="FF777F8B"/>
    <w:rsid w:val="FF7F5162"/>
    <w:rsid w:val="FF7F6264"/>
    <w:rsid w:val="FF891F88"/>
    <w:rsid w:val="FF8A3E21"/>
    <w:rsid w:val="FF9F21BD"/>
    <w:rsid w:val="FFB32A18"/>
    <w:rsid w:val="FFDF6DE8"/>
    <w:rsid w:val="FFE3713E"/>
    <w:rsid w:val="FFE9D92A"/>
    <w:rsid w:val="FFEB1A70"/>
    <w:rsid w:val="FFECDCFF"/>
    <w:rsid w:val="FFF22776"/>
    <w:rsid w:val="FFFD5B61"/>
    <w:rsid w:val="FFFEDC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99"/>
    <w:pPr>
      <w:spacing w:line="400" w:lineRule="exact"/>
      <w:jc w:val="center"/>
    </w:pPr>
    <w:rPr>
      <w:sz w:val="44"/>
      <w:szCs w:val="20"/>
    </w:rPr>
  </w:style>
  <w:style w:type="paragraph" w:styleId="3">
    <w:name w:val="Body Text 2"/>
    <w:basedOn w:val="1"/>
    <w:next w:val="2"/>
    <w:link w:val="27"/>
    <w:qFormat/>
    <w:uiPriority w:val="99"/>
    <w:pPr>
      <w:spacing w:after="120" w:line="480" w:lineRule="auto"/>
    </w:pPr>
  </w:style>
  <w:style w:type="paragraph" w:styleId="4">
    <w:name w:val="Body Text 3"/>
    <w:basedOn w:val="1"/>
    <w:link w:val="20"/>
    <w:qFormat/>
    <w:uiPriority w:val="99"/>
    <w:pPr>
      <w:spacing w:after="120"/>
    </w:pPr>
    <w:rPr>
      <w:sz w:val="16"/>
      <w:szCs w:val="16"/>
    </w:rPr>
  </w:style>
  <w:style w:type="paragraph" w:styleId="5">
    <w:name w:val="Body Text Indent"/>
    <w:basedOn w:val="1"/>
    <w:link w:val="21"/>
    <w:qFormat/>
    <w:uiPriority w:val="99"/>
    <w:pPr>
      <w:spacing w:after="120"/>
      <w:ind w:left="420" w:leftChars="200"/>
    </w:pPr>
  </w:style>
  <w:style w:type="paragraph" w:styleId="6">
    <w:name w:val="Date"/>
    <w:basedOn w:val="1"/>
    <w:next w:val="1"/>
    <w:link w:val="22"/>
    <w:qFormat/>
    <w:uiPriority w:val="99"/>
    <w:pPr>
      <w:ind w:left="100" w:leftChars="2500"/>
    </w:pPr>
  </w:style>
  <w:style w:type="paragraph" w:styleId="7">
    <w:name w:val="Body Text Indent 2"/>
    <w:basedOn w:val="1"/>
    <w:link w:val="23"/>
    <w:qFormat/>
    <w:uiPriority w:val="99"/>
    <w:pPr>
      <w:spacing w:after="120" w:line="480" w:lineRule="auto"/>
      <w:ind w:left="420" w:leftChars="200"/>
    </w:pPr>
  </w:style>
  <w:style w:type="paragraph" w:styleId="8">
    <w:name w:val="footer"/>
    <w:basedOn w:val="1"/>
    <w:next w:val="1"/>
    <w:link w:val="24"/>
    <w:qFormat/>
    <w:uiPriority w:val="99"/>
    <w:pPr>
      <w:tabs>
        <w:tab w:val="center" w:pos="4153"/>
        <w:tab w:val="right" w:pos="8306"/>
      </w:tabs>
      <w:snapToGrid w:val="0"/>
      <w:jc w:val="left"/>
    </w:pPr>
    <w:rPr>
      <w:sz w:val="18"/>
    </w:rPr>
  </w:style>
  <w:style w:type="paragraph" w:styleId="9">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26"/>
    <w:qFormat/>
    <w:uiPriority w:val="99"/>
    <w:pPr>
      <w:widowControl/>
      <w:wordWrap w:val="0"/>
      <w:spacing w:after="60"/>
      <w:jc w:val="center"/>
    </w:pPr>
    <w:rPr>
      <w:rFonts w:ascii="Times New Roman" w:hAnsi="Times New Roman"/>
      <w:sz w:val="24"/>
    </w:r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w:basedOn w:val="2"/>
    <w:next w:val="7"/>
    <w:link w:val="28"/>
    <w:qFormat/>
    <w:uiPriority w:val="99"/>
    <w:pPr>
      <w:ind w:firstLine="420" w:firstLineChars="100"/>
    </w:pPr>
  </w:style>
  <w:style w:type="paragraph" w:styleId="13">
    <w:name w:val="Body Text First Indent 2"/>
    <w:basedOn w:val="5"/>
    <w:link w:val="34"/>
    <w:qFormat/>
    <w:uiPriority w:val="99"/>
    <w:pPr>
      <w:ind w:firstLine="420" w:firstLineChars="200"/>
    </w:pPr>
    <w:rPr>
      <w:rFonts w:ascii="Times New Roman" w:hAnsi="Times New Roman" w:eastAsia="仿宋_GB2312"/>
      <w:sz w:val="32"/>
      <w:szCs w:val="20"/>
    </w:rPr>
  </w:style>
  <w:style w:type="table" w:styleId="15">
    <w:name w:val="Table Grid"/>
    <w:basedOn w:val="14"/>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locked/>
    <w:uiPriority w:val="0"/>
    <w:rPr>
      <w:color w:val="0000FF"/>
      <w:u w:val="single"/>
    </w:rPr>
  </w:style>
  <w:style w:type="paragraph" w:customStyle="1" w:styleId="18">
    <w:name w:val="Body Text 2_a335ccef-f55b-4bdf-b52b-31131cd2bae0"/>
    <w:basedOn w:val="1"/>
    <w:qFormat/>
    <w:uiPriority w:val="99"/>
    <w:pPr>
      <w:spacing w:after="120" w:line="480" w:lineRule="auto"/>
    </w:pPr>
    <w:rPr>
      <w:rFonts w:ascii="Times New Roman" w:hAnsi="Times New Roman"/>
    </w:rPr>
  </w:style>
  <w:style w:type="character" w:customStyle="1" w:styleId="19">
    <w:name w:val="Body Text Char"/>
    <w:basedOn w:val="16"/>
    <w:link w:val="2"/>
    <w:semiHidden/>
    <w:qFormat/>
    <w:locked/>
    <w:uiPriority w:val="99"/>
    <w:rPr>
      <w:rFonts w:ascii="Calibri" w:hAnsi="Calibri" w:cs="Times New Roman"/>
      <w:kern w:val="2"/>
      <w:sz w:val="44"/>
      <w:lang w:val="en-US" w:eastAsia="zh-CN" w:bidi="ar-SA"/>
    </w:rPr>
  </w:style>
  <w:style w:type="character" w:customStyle="1" w:styleId="20">
    <w:name w:val="Body Text 3 Char"/>
    <w:basedOn w:val="16"/>
    <w:link w:val="4"/>
    <w:semiHidden/>
    <w:qFormat/>
    <w:locked/>
    <w:uiPriority w:val="99"/>
    <w:rPr>
      <w:rFonts w:ascii="Calibri" w:hAnsi="Calibri" w:cs="Times New Roman"/>
      <w:sz w:val="16"/>
      <w:szCs w:val="16"/>
    </w:rPr>
  </w:style>
  <w:style w:type="character" w:customStyle="1" w:styleId="21">
    <w:name w:val="Body Text Indent Char"/>
    <w:basedOn w:val="16"/>
    <w:link w:val="5"/>
    <w:semiHidden/>
    <w:qFormat/>
    <w:locked/>
    <w:uiPriority w:val="99"/>
    <w:rPr>
      <w:rFonts w:ascii="Calibri" w:hAnsi="Calibri" w:cs="Times New Roman"/>
      <w:sz w:val="24"/>
      <w:szCs w:val="24"/>
    </w:rPr>
  </w:style>
  <w:style w:type="character" w:customStyle="1" w:styleId="22">
    <w:name w:val="Date Char"/>
    <w:basedOn w:val="16"/>
    <w:link w:val="6"/>
    <w:semiHidden/>
    <w:qFormat/>
    <w:locked/>
    <w:uiPriority w:val="99"/>
    <w:rPr>
      <w:rFonts w:ascii="Calibri" w:hAnsi="Calibri" w:cs="Times New Roman"/>
      <w:sz w:val="24"/>
      <w:szCs w:val="24"/>
    </w:rPr>
  </w:style>
  <w:style w:type="character" w:customStyle="1" w:styleId="23">
    <w:name w:val="Body Text Indent 2 Char"/>
    <w:basedOn w:val="16"/>
    <w:link w:val="7"/>
    <w:semiHidden/>
    <w:qFormat/>
    <w:locked/>
    <w:uiPriority w:val="99"/>
    <w:rPr>
      <w:rFonts w:ascii="Calibri" w:hAnsi="Calibri" w:cs="Times New Roman"/>
      <w:sz w:val="24"/>
      <w:szCs w:val="24"/>
    </w:rPr>
  </w:style>
  <w:style w:type="character" w:customStyle="1" w:styleId="24">
    <w:name w:val="Footer Char"/>
    <w:basedOn w:val="16"/>
    <w:link w:val="8"/>
    <w:semiHidden/>
    <w:qFormat/>
    <w:locked/>
    <w:uiPriority w:val="99"/>
    <w:rPr>
      <w:rFonts w:ascii="Calibri" w:hAnsi="Calibri" w:cs="Times New Roman"/>
      <w:sz w:val="18"/>
      <w:szCs w:val="18"/>
    </w:rPr>
  </w:style>
  <w:style w:type="character" w:customStyle="1" w:styleId="25">
    <w:name w:val="Header Char"/>
    <w:basedOn w:val="16"/>
    <w:link w:val="9"/>
    <w:semiHidden/>
    <w:qFormat/>
    <w:locked/>
    <w:uiPriority w:val="99"/>
    <w:rPr>
      <w:rFonts w:ascii="Calibri" w:hAnsi="Calibri" w:cs="Times New Roman"/>
      <w:sz w:val="18"/>
      <w:szCs w:val="18"/>
    </w:rPr>
  </w:style>
  <w:style w:type="character" w:customStyle="1" w:styleId="26">
    <w:name w:val="Subtitle Char"/>
    <w:basedOn w:val="16"/>
    <w:link w:val="10"/>
    <w:qFormat/>
    <w:locked/>
    <w:uiPriority w:val="99"/>
    <w:rPr>
      <w:rFonts w:ascii="Cambria" w:hAnsi="Cambria" w:cs="Times New Roman"/>
      <w:b/>
      <w:bCs/>
      <w:kern w:val="28"/>
      <w:sz w:val="32"/>
      <w:szCs w:val="32"/>
    </w:rPr>
  </w:style>
  <w:style w:type="character" w:customStyle="1" w:styleId="27">
    <w:name w:val="Body Text 2 Char"/>
    <w:basedOn w:val="16"/>
    <w:link w:val="3"/>
    <w:semiHidden/>
    <w:qFormat/>
    <w:locked/>
    <w:uiPriority w:val="99"/>
    <w:rPr>
      <w:rFonts w:ascii="Calibri" w:hAnsi="Calibri" w:cs="Times New Roman"/>
      <w:sz w:val="24"/>
      <w:szCs w:val="24"/>
    </w:rPr>
  </w:style>
  <w:style w:type="character" w:customStyle="1" w:styleId="28">
    <w:name w:val="Body Text First Indent Char"/>
    <w:basedOn w:val="19"/>
    <w:link w:val="12"/>
    <w:semiHidden/>
    <w:qFormat/>
    <w:locked/>
    <w:uiPriority w:val="99"/>
  </w:style>
  <w:style w:type="character" w:customStyle="1" w:styleId="29">
    <w:name w:val="Body Text First Indent 2 Char"/>
    <w:basedOn w:val="21"/>
    <w:link w:val="13"/>
    <w:semiHidden/>
    <w:qFormat/>
    <w:locked/>
    <w:uiPriority w:val="99"/>
  </w:style>
  <w:style w:type="paragraph" w:customStyle="1" w:styleId="30">
    <w:name w:val="Default"/>
    <w:basedOn w:val="31"/>
    <w:next w:val="10"/>
    <w:qFormat/>
    <w:uiPriority w:val="99"/>
    <w:pPr>
      <w:autoSpaceDE w:val="0"/>
      <w:autoSpaceDN w:val="0"/>
      <w:adjustRightInd w:val="0"/>
      <w:jc w:val="left"/>
    </w:pPr>
    <w:rPr>
      <w:rFonts w:ascii="仿宋_GB2312" w:eastAsia="仿宋_GB2312"/>
      <w:color w:val="000000"/>
      <w:kern w:val="0"/>
      <w:sz w:val="24"/>
    </w:rPr>
  </w:style>
  <w:style w:type="paragraph" w:customStyle="1" w:styleId="31">
    <w:name w:val="正文1"/>
    <w:qFormat/>
    <w:uiPriority w:val="99"/>
    <w:pPr>
      <w:widowControl w:val="0"/>
      <w:jc w:val="both"/>
    </w:pPr>
    <w:rPr>
      <w:rFonts w:ascii="Calibri" w:hAnsi="Calibri" w:eastAsia="等线" w:cs="Times New Roman"/>
      <w:kern w:val="2"/>
      <w:sz w:val="21"/>
      <w:szCs w:val="24"/>
      <w:lang w:val="en-US" w:eastAsia="zh-CN" w:bidi="ar-SA"/>
    </w:rPr>
  </w:style>
  <w:style w:type="paragraph" w:customStyle="1" w:styleId="32">
    <w:name w:val="正文文本 21"/>
    <w:basedOn w:val="1"/>
    <w:qFormat/>
    <w:uiPriority w:val="99"/>
    <w:pPr>
      <w:spacing w:after="120" w:line="480" w:lineRule="auto"/>
    </w:pPr>
    <w:rPr>
      <w:rFonts w:ascii="Times New Roman" w:hAnsi="Times New Roman"/>
    </w:rPr>
  </w:style>
  <w:style w:type="character" w:customStyle="1" w:styleId="33">
    <w:name w:val="NormalCharacter"/>
    <w:semiHidden/>
    <w:qFormat/>
    <w:uiPriority w:val="99"/>
    <w:rPr>
      <w:rFonts w:ascii="Calibri" w:hAnsi="Calibri"/>
      <w:kern w:val="2"/>
      <w:sz w:val="24"/>
      <w:lang w:val="en-US" w:eastAsia="zh-CN"/>
    </w:rPr>
  </w:style>
  <w:style w:type="character" w:customStyle="1" w:styleId="34">
    <w:name w:val="Body Text First Indent 2 Char1"/>
    <w:link w:val="13"/>
    <w:qFormat/>
    <w:locked/>
    <w:uiPriority w:val="99"/>
    <w:rPr>
      <w:rFonts w:eastAsia="仿宋_GB2312"/>
      <w:kern w:val="2"/>
      <w:sz w:val="32"/>
      <w:lang w:val="en-US" w:eastAsia="zh-CN"/>
    </w:rPr>
  </w:style>
  <w:style w:type="paragraph" w:customStyle="1" w:styleId="35">
    <w:name w:val="列出段落1"/>
    <w:basedOn w:val="1"/>
    <w:qFormat/>
    <w:uiPriority w:val="99"/>
    <w:pPr>
      <w:ind w:firstLine="420" w:firstLineChars="200"/>
    </w:pPr>
    <w:rPr>
      <w:rFonts w:ascii="仿宋_GB2312" w:hAnsi="宋体"/>
      <w:szCs w:val="21"/>
    </w:rPr>
  </w:style>
  <w:style w:type="paragraph" w:customStyle="1" w:styleId="36">
    <w:name w:val="普通(网站)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5656</Words>
  <Characters>5759</Characters>
  <Lines>0</Lines>
  <Paragraphs>0</Paragraphs>
  <TotalTime>36</TotalTime>
  <ScaleCrop>false</ScaleCrop>
  <LinksUpToDate>false</LinksUpToDate>
  <CharactersWithSpaces>5767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2025-03-25T08:56:00Z</dcterms:created>
  <dc:creator>嗯嗯呢</dc:creator>
  <cp:lastModifiedBy>懵蒙</cp:lastModifiedBy>
  <cp:lastPrinted>2025-03-27T07:20:00Z</cp:lastPrinted>
  <dcterms:modified xsi:type="dcterms:W3CDTF">2025-04-29T02:06:26Z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B3809F38F0814160BD823322AC690063_13</vt:lpwstr>
  </property>
  <property fmtid="{D5CDD505-2E9C-101B-9397-08002B2CF9AE}" pid="4" name="KSOTemplateDocerSaveRecord">
    <vt:lpwstr>eyJoZGlkIjoiMTUzMmEwNjIzYjBhZmI4YjcwMGMxMWYxYTk4NDE5MjkiLCJ1c2VySWQiOiIxMTQ0MzQwMDczIn0=</vt:lpwstr>
  </property>
</Properties>
</file>