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孟津区2025年肉牛奶牛新型经营主体生产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设施条件改善项目实施方案</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为推动孟津区肉牛奶牛产业高质量发展，提升新型经营主体生产设施条件和生产经营水平，根</w:t>
      </w:r>
      <w:r>
        <w:rPr>
          <w:rFonts w:hint="eastAsia" w:ascii="仿宋_GB2312" w:hAnsi="仿宋_GB2312" w:eastAsia="仿宋_GB2312" w:cs="仿宋_GB2312"/>
          <w:color w:val="auto"/>
          <w:sz w:val="32"/>
          <w:szCs w:val="32"/>
          <w:lang w:val="en-US" w:eastAsia="zh-CN"/>
        </w:rPr>
        <w:t>据省市相</w:t>
      </w:r>
      <w:r>
        <w:rPr>
          <w:rFonts w:hint="eastAsia" w:ascii="仿宋_GB2312" w:hAnsi="仿宋_GB2312" w:eastAsia="仿宋_GB2312" w:cs="仿宋_GB2312"/>
          <w:sz w:val="32"/>
          <w:szCs w:val="32"/>
          <w:lang w:val="en-US" w:eastAsia="zh-CN"/>
        </w:rPr>
        <w:t>关实施方案要求，结合孟津区实际，制定本方案。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2025年，孟津区支持2个</w:t>
      </w:r>
      <w:r>
        <w:rPr>
          <w:rFonts w:hint="eastAsia" w:ascii="仿宋_GB2312" w:hAnsi="仿宋_GB2312" w:eastAsia="仿宋_GB2312" w:cs="仿宋_GB2312"/>
          <w:sz w:val="32"/>
          <w:szCs w:val="32"/>
          <w:lang w:val="en-US" w:eastAsia="zh-CN"/>
        </w:rPr>
        <w:t>肉牛新型经营主体改善生产设施条件，推广应用先进实用技术，助力培育肉牛奶牛品牌、拓展营销渠道，提高生产经营发展水平，增强联农带农服务能力，促进农民增收。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（一）补助对象。</w:t>
      </w:r>
      <w:r>
        <w:rPr>
          <w:rFonts w:hint="eastAsia" w:ascii="Times New Roman" w:hAnsi="Times New Roman" w:eastAsia="仿宋_GB2312" w:cs="Times New Roman"/>
          <w:sz w:val="32"/>
          <w:szCs w:val="32"/>
          <w:lang w:val="en-US" w:eastAsia="zh-CN"/>
        </w:rPr>
        <w:t>2025年1月1日至12月31日</w:t>
      </w:r>
      <w:r>
        <w:rPr>
          <w:rFonts w:hint="eastAsia" w:ascii="仿宋_GB2312" w:hAnsi="仿宋_GB2312" w:eastAsia="仿宋_GB2312" w:cs="仿宋_GB2312"/>
          <w:sz w:val="32"/>
          <w:szCs w:val="32"/>
          <w:lang w:val="en-US" w:eastAsia="zh-CN"/>
        </w:rPr>
        <w:t>，实施生产设施条件改善的肉牛农民合作社或家庭农场。要求养殖场区建设符合当地土地利用总体规划，不在法律法规规定的禁养区内。</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土地、环保等手续齐全且正常生产经营，财务等管理制度健全规范，符合当地产业发展规划等相关政策要求；具备相应的资金筹措能力，且承诺按时按要求完成建设任务。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（二）实施主体。</w:t>
      </w:r>
      <w:r>
        <w:rPr>
          <w:rFonts w:hint="eastAsia" w:ascii="仿宋_GB2312" w:hAnsi="仿宋_GB2312" w:eastAsia="仿宋_GB2312" w:cs="仿宋_GB2312"/>
          <w:color w:val="auto"/>
          <w:sz w:val="32"/>
          <w:szCs w:val="32"/>
          <w:lang w:val="en-US" w:eastAsia="zh-CN"/>
        </w:rPr>
        <w:t>经养殖场自愿申请，区农业农村局推荐，省市审核，最终确定孟津县佳丰养殖专业合作社、孟津区牛壮壮养殖家庭农场两</w:t>
      </w:r>
      <w:r>
        <w:rPr>
          <w:rFonts w:hint="eastAsia" w:ascii="Times New Roman" w:hAnsi="Times New Roman" w:eastAsia="仿宋_GB2312" w:cs="Times New Roman"/>
          <w:color w:val="auto"/>
          <w:sz w:val="32"/>
          <w:szCs w:val="32"/>
          <w:lang w:val="en-US" w:eastAsia="zh-CN"/>
        </w:rPr>
        <w:t>家</w:t>
      </w:r>
      <w:r>
        <w:rPr>
          <w:rFonts w:hint="eastAsia" w:ascii="仿宋_GB2312" w:hAnsi="仿宋_GB2312" w:eastAsia="仿宋_GB2312" w:cs="仿宋_GB2312"/>
          <w:color w:val="auto"/>
          <w:sz w:val="32"/>
          <w:szCs w:val="32"/>
          <w:lang w:val="en-US" w:eastAsia="zh-CN"/>
        </w:rPr>
        <w:t>为项目实施单位。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（三）建设内容。</w:t>
      </w:r>
      <w:r>
        <w:rPr>
          <w:rFonts w:hint="eastAsia" w:ascii="仿宋_GB2312" w:hAnsi="仿宋_GB2312" w:eastAsia="仿宋_GB2312" w:cs="仿宋_GB2312"/>
          <w:sz w:val="32"/>
          <w:szCs w:val="32"/>
          <w:lang w:val="en-US" w:eastAsia="zh-CN"/>
        </w:rPr>
        <w:t>新建或升级改造养殖圈舍、饲草料生产加工储存等基础设施，购置与养殖相关的设施装备。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（四）补助方式。</w:t>
      </w:r>
      <w:r>
        <w:rPr>
          <w:rFonts w:hint="eastAsia" w:ascii="仿宋_GB2312" w:hAnsi="仿宋_GB2312" w:eastAsia="仿宋_GB2312" w:cs="仿宋_GB2312"/>
          <w:sz w:val="32"/>
          <w:szCs w:val="32"/>
          <w:lang w:val="en-US" w:eastAsia="zh-CN"/>
        </w:rPr>
        <w:t>实行“先建后补”。项目实施主体先自行筹集资金进行建设，待项目完成并通过验收后再给予补助</w:t>
      </w:r>
      <w:r>
        <w:rPr>
          <w:rFonts w:hint="eastAsia" w:ascii="仿宋_GB2312" w:hAnsi="仿宋_GB2312" w:eastAsia="仿宋_GB2312" w:cs="仿宋_GB2312"/>
          <w:color w:val="auto"/>
          <w:sz w:val="32"/>
          <w:szCs w:val="32"/>
          <w:lang w:val="en-US" w:eastAsia="zh-CN"/>
        </w:rPr>
        <w:t>。单个实施主体补助资金额度不超过</w:t>
      </w:r>
      <w:r>
        <w:rPr>
          <w:rFonts w:hint="eastAsia" w:ascii="Times New Roman" w:hAnsi="Times New Roman" w:eastAsia="仿宋_GB2312" w:cs="Times New Roman"/>
          <w:color w:val="auto"/>
          <w:sz w:val="32"/>
          <w:szCs w:val="32"/>
          <w:lang w:val="en-US" w:eastAsia="zh-CN"/>
        </w:rPr>
        <w:t>34万元</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pPr>
        <w:pStyle w:val="12"/>
        <w:keepNext w:val="0"/>
        <w:keepLines w:val="0"/>
        <w:pageBreakBefore w:val="0"/>
        <w:kinsoku/>
        <w:wordWrap/>
        <w:overflowPunct/>
        <w:topLinePunct w:val="0"/>
        <w:autoSpaceDE/>
        <w:autoSpaceDN/>
        <w:bidi w:val="0"/>
        <w:spacing w:after="0" w:afterLines="0" w:line="60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color w:val="auto"/>
          <w:sz w:val="32"/>
          <w:szCs w:val="32"/>
          <w:lang w:val="en-US" w:eastAsia="zh-CN"/>
        </w:rPr>
        <w:t>加强组织领导。</w:t>
      </w:r>
      <w:r>
        <w:rPr>
          <w:rFonts w:hint="default" w:ascii="Times New Roman" w:hAnsi="Times New Roman" w:eastAsia="仿宋_GB2312" w:cs="Calibri"/>
          <w:kern w:val="2"/>
          <w:sz w:val="32"/>
          <w:szCs w:val="21"/>
          <w:lang w:val="en-US" w:eastAsia="zh-CN" w:bidi="ar-SA"/>
        </w:rPr>
        <w:t>项目由分管领导主抓，畜牧</w:t>
      </w:r>
      <w:r>
        <w:rPr>
          <w:rFonts w:hint="eastAsia" w:ascii="Times New Roman" w:hAnsi="Times New Roman" w:eastAsia="仿宋_GB2312" w:cs="Calibri"/>
          <w:kern w:val="2"/>
          <w:sz w:val="32"/>
          <w:szCs w:val="21"/>
          <w:lang w:val="en-US" w:eastAsia="zh-CN" w:bidi="ar-SA"/>
        </w:rPr>
        <w:t>水产股</w:t>
      </w:r>
      <w:r>
        <w:rPr>
          <w:rFonts w:hint="default" w:ascii="Times New Roman" w:hAnsi="Times New Roman" w:eastAsia="仿宋_GB2312" w:cs="Calibri"/>
          <w:kern w:val="2"/>
          <w:sz w:val="32"/>
          <w:szCs w:val="21"/>
          <w:lang w:val="en-US" w:eastAsia="zh-CN" w:bidi="ar-SA"/>
        </w:rPr>
        <w:t>牵头实施，</w:t>
      </w:r>
      <w:r>
        <w:rPr>
          <w:rFonts w:hint="eastAsia" w:ascii="Times New Roman" w:hAnsi="Times New Roman" w:eastAsia="仿宋_GB2312" w:cs="Calibri"/>
          <w:kern w:val="2"/>
          <w:sz w:val="32"/>
          <w:szCs w:val="21"/>
          <w:lang w:val="en-US" w:eastAsia="zh-CN" w:bidi="ar-SA"/>
        </w:rPr>
        <w:t>人事</w:t>
      </w:r>
      <w:r>
        <w:rPr>
          <w:rFonts w:hint="default" w:ascii="Times New Roman" w:hAnsi="Times New Roman" w:eastAsia="仿宋_GB2312" w:cs="Calibri"/>
          <w:kern w:val="2"/>
          <w:sz w:val="32"/>
          <w:szCs w:val="21"/>
          <w:lang w:val="en-US" w:eastAsia="zh-CN" w:bidi="ar-SA"/>
        </w:rPr>
        <w:t>财务</w:t>
      </w:r>
      <w:r>
        <w:rPr>
          <w:rFonts w:hint="eastAsia" w:ascii="Times New Roman" w:hAnsi="Times New Roman" w:eastAsia="仿宋_GB2312" w:cs="Calibri"/>
          <w:kern w:val="2"/>
          <w:sz w:val="32"/>
          <w:szCs w:val="21"/>
          <w:lang w:val="en-US" w:eastAsia="zh-CN" w:bidi="ar-SA"/>
        </w:rPr>
        <w:t>股</w:t>
      </w:r>
      <w:r>
        <w:rPr>
          <w:rFonts w:hint="default" w:ascii="Times New Roman" w:hAnsi="Times New Roman" w:eastAsia="仿宋_GB2312" w:cs="Calibri"/>
          <w:kern w:val="2"/>
          <w:sz w:val="32"/>
          <w:szCs w:val="21"/>
          <w:lang w:val="en-US" w:eastAsia="zh-CN" w:bidi="ar-SA"/>
        </w:rPr>
        <w:t>负责资金落实。畜牧</w:t>
      </w:r>
      <w:r>
        <w:rPr>
          <w:rFonts w:hint="eastAsia" w:ascii="Times New Roman" w:hAnsi="Times New Roman" w:eastAsia="仿宋_GB2312" w:cs="Calibri"/>
          <w:kern w:val="2"/>
          <w:sz w:val="32"/>
          <w:szCs w:val="21"/>
          <w:lang w:val="en-US" w:eastAsia="zh-CN" w:bidi="ar-SA"/>
        </w:rPr>
        <w:t>水产股</w:t>
      </w:r>
      <w:r>
        <w:rPr>
          <w:rFonts w:hint="eastAsia" w:ascii="仿宋_GB2312" w:hAnsi="仿宋_GB2312" w:eastAsia="仿宋_GB2312" w:cs="仿宋_GB2312"/>
          <w:sz w:val="32"/>
          <w:szCs w:val="32"/>
          <w:lang w:val="en-US" w:eastAsia="zh-CN"/>
        </w:rPr>
        <w:t>负责统筹协调项目实施过程中的重大问题，制定项目实施的具体政策和措施，确保项目顺利推进。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（二）加强指导监督。区</w:t>
      </w:r>
      <w:r>
        <w:rPr>
          <w:rFonts w:hint="eastAsia" w:ascii="仿宋_GB2312" w:hAnsi="仿宋_GB2312" w:eastAsia="仿宋_GB2312" w:cs="仿宋_GB2312"/>
          <w:sz w:val="32"/>
          <w:szCs w:val="32"/>
          <w:lang w:val="en-US" w:eastAsia="zh-CN"/>
        </w:rPr>
        <w:t>农业农村局加强对项目实施主体的指导，组织相关人员深入现场，提供技术支持和服务，帮助解决项目建设过程中遇到的技术难题。建立健全项目监督检查机制，定期对项目实施情况进行检查，及时发现和解决问题。对项目实施过程中存在的违规违纪行为，一经查实，将严肃处理，并追回补助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（三）强化模式探索。</w:t>
      </w:r>
      <w:r>
        <w:rPr>
          <w:rFonts w:hint="eastAsia" w:ascii="仿宋_GB2312" w:hAnsi="仿宋_GB2312" w:eastAsia="仿宋_GB2312" w:cs="仿宋_GB2312"/>
          <w:color w:val="auto"/>
          <w:sz w:val="32"/>
          <w:szCs w:val="32"/>
          <w:lang w:val="en-US" w:eastAsia="zh-CN"/>
        </w:rPr>
        <w:t>结合孟津区肉牛奶牛产业发展实际，</w:t>
      </w:r>
      <w:r>
        <w:rPr>
          <w:rFonts w:hint="default" w:eastAsia="仿宋_GB2312" w:cs="Times New Roman"/>
          <w:color w:val="auto"/>
          <w:sz w:val="32"/>
          <w:szCs w:val="32"/>
          <w:u w:val="none"/>
          <w:lang w:val="en-US" w:eastAsia="zh-CN"/>
        </w:rPr>
        <w:t>积极探索提高养殖场降本增效抗风险能力的路径方法，引导鼓励养殖场开展设施化、智能化改造提升，不断增强畜牧业联农带农、促进农民增收能力</w:t>
      </w:r>
      <w:r>
        <w:rPr>
          <w:rFonts w:hint="eastAsia" w:eastAsia="仿宋_GB2312"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（四）强化信息调度。</w:t>
      </w:r>
      <w:r>
        <w:rPr>
          <w:rFonts w:hint="eastAsia" w:ascii="Times New Roman" w:hAnsi="Times New Roman" w:eastAsia="仿宋_GB2312" w:cs="Times New Roman"/>
          <w:sz w:val="32"/>
          <w:szCs w:val="32"/>
          <w:lang w:val="en-US" w:eastAsia="zh-CN"/>
        </w:rPr>
        <w:t>自2025年8月份开始，每月20日前将《2025年肉牛奶牛新型经营主体生产设施条件改善项目统计表》报送至洛阳市农业农村局（电子版和盖公章扫描件）。同时，及时在农业农村部转移支付平台更新项目任务进展情况及资金拨付情况，接受上级部门的跟踪监督。</w:t>
      </w:r>
    </w:p>
    <w:p>
      <w:pPr>
        <w:pStyle w:val="2"/>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附件：孟津区2025年肉牛奶牛新型经营主体生产设施条件改善项目汇总表</w:t>
      </w:r>
    </w:p>
    <w:p>
      <w:pPr>
        <w:pStyle w:val="12"/>
        <w:rPr>
          <w:rFonts w:hint="eastAsia" w:ascii="Times New Roman" w:hAnsi="Times New Roman" w:eastAsia="仿宋_GB2312" w:cs="Times New Roman"/>
          <w:sz w:val="32"/>
          <w:szCs w:val="32"/>
          <w:lang w:val="en-US" w:eastAsia="zh-CN"/>
        </w:rPr>
      </w:pPr>
    </w:p>
    <w:p>
      <w:pPr>
        <w:pStyle w:val="12"/>
        <w:rPr>
          <w:rFonts w:hint="eastAsia" w:ascii="Times New Roman" w:hAnsi="Times New Roman" w:eastAsia="仿宋_GB2312" w:cs="Times New Roman"/>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after="0" w:line="600" w:lineRule="exact"/>
        <w:ind w:firstLine="4480" w:firstLineChars="14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洛阳市孟津区农业农村局</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eastAsia="仿宋_GB2312" w:cs="Times New Roman"/>
          <w:sz w:val="32"/>
          <w:szCs w:val="32"/>
          <w:lang w:val="en-US" w:eastAsia="zh-CN"/>
        </w:rPr>
        <w:t xml:space="preserve">                               2025年8月12日</w:t>
      </w:r>
    </w:p>
    <w:p>
      <w:pPr>
        <w:widowControl/>
        <w:spacing w:line="32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p>
    <w:p>
      <w:pPr>
        <w:pStyle w:val="2"/>
        <w:rPr>
          <w:rFonts w:hint="eastAsia"/>
          <w:lang w:eastAsia="zh-CN"/>
        </w:rPr>
      </w:pPr>
      <w:bookmarkStart w:id="0" w:name="_GoBack"/>
      <w:bookmarkEnd w:id="0"/>
    </w:p>
    <w:p>
      <w:pPr>
        <w:spacing w:line="590" w:lineRule="exact"/>
        <w:jc w:val="center"/>
        <w:rPr>
          <w:rFonts w:hint="eastAsia" w:ascii="方正小标宋简体" w:hAnsi="仿宋" w:eastAsia="方正小标宋简体"/>
          <w:bCs/>
          <w:sz w:val="44"/>
          <w:szCs w:val="44"/>
        </w:rPr>
      </w:pPr>
      <w:r>
        <w:rPr>
          <w:rFonts w:hint="eastAsia" w:ascii="仿宋" w:hAnsi="仿宋" w:eastAsia="仿宋"/>
          <w:b/>
          <w:bCs/>
          <w:sz w:val="44"/>
          <w:szCs w:val="44"/>
          <w:lang w:val="en-US" w:eastAsia="zh-CN"/>
        </w:rPr>
        <w:t>孟津区</w:t>
      </w:r>
      <w:r>
        <w:rPr>
          <w:rFonts w:hint="eastAsia" w:ascii="仿宋" w:hAnsi="仿宋" w:eastAsia="仿宋"/>
          <w:b/>
          <w:bCs/>
          <w:sz w:val="44"/>
          <w:szCs w:val="44"/>
        </w:rPr>
        <w:t>2025</w:t>
      </w:r>
      <w:r>
        <w:rPr>
          <w:rFonts w:hint="eastAsia" w:ascii="方正小标宋简体" w:hAnsi="仿宋" w:eastAsia="方正小标宋简体"/>
          <w:bCs/>
          <w:sz w:val="44"/>
          <w:szCs w:val="44"/>
        </w:rPr>
        <w:t>年</w:t>
      </w:r>
      <w:r>
        <w:rPr>
          <w:rFonts w:hint="eastAsia" w:ascii="方正小标宋简体" w:hAnsi="仿宋" w:eastAsia="方正小标宋简体"/>
          <w:bCs/>
          <w:sz w:val="44"/>
          <w:szCs w:val="44"/>
          <w:lang w:eastAsia="zh-CN"/>
        </w:rPr>
        <w:t>肉牛奶牛</w:t>
      </w:r>
      <w:r>
        <w:rPr>
          <w:rFonts w:hint="eastAsia" w:ascii="方正小标宋简体" w:hAnsi="仿宋" w:eastAsia="方正小标宋简体"/>
          <w:bCs/>
          <w:sz w:val="44"/>
          <w:szCs w:val="44"/>
        </w:rPr>
        <w:t>新型经营主体生产设施条件改善项</w:t>
      </w:r>
      <w:r>
        <w:rPr>
          <w:rFonts w:hint="eastAsia" w:ascii="方正小标宋简体" w:hAnsi="仿宋" w:eastAsia="方正小标宋简体"/>
          <w:bCs/>
          <w:sz w:val="44"/>
          <w:szCs w:val="44"/>
          <w:lang w:val="en-US" w:eastAsia="zh-CN"/>
        </w:rPr>
        <w:t>目汇总</w:t>
      </w:r>
      <w:r>
        <w:rPr>
          <w:rFonts w:hint="eastAsia" w:ascii="方正小标宋简体" w:hAnsi="仿宋" w:eastAsia="方正小标宋简体"/>
          <w:bCs/>
          <w:sz w:val="44"/>
          <w:szCs w:val="44"/>
        </w:rPr>
        <w:t>表</w:t>
      </w:r>
    </w:p>
    <w:p>
      <w:pPr>
        <w:spacing w:line="590" w:lineRule="exact"/>
        <w:jc w:val="left"/>
        <w:rPr>
          <w:rFonts w:ascii="仿宋_GB2312" w:hAnsi="仿宋_GB2312" w:eastAsia="仿宋_GB2312" w:cs="仿宋_GB2312"/>
          <w:sz w:val="32"/>
          <w:szCs w:val="32"/>
        </w:rPr>
      </w:pPr>
      <w:r>
        <w:rPr>
          <w:rFonts w:hint="eastAsia" w:ascii="仿宋_GB2312" w:hAnsi="仿宋_GB2312" w:eastAsia="仿宋_GB2312" w:cs="仿宋_GB2312"/>
          <w:sz w:val="28"/>
          <w:szCs w:val="28"/>
        </w:rPr>
        <w:t>填报单位（公章）：                   联系人及联系方式：</w:t>
      </w:r>
    </w:p>
    <w:tbl>
      <w:tblPr>
        <w:tblStyle w:val="10"/>
        <w:tblW w:w="14047" w:type="dxa"/>
        <w:jc w:val="center"/>
        <w:tblLayout w:type="fixed"/>
        <w:tblCellMar>
          <w:top w:w="0" w:type="dxa"/>
          <w:left w:w="0" w:type="dxa"/>
          <w:bottom w:w="0" w:type="dxa"/>
          <w:right w:w="0" w:type="dxa"/>
        </w:tblCellMar>
      </w:tblPr>
      <w:tblGrid>
        <w:gridCol w:w="602"/>
        <w:gridCol w:w="765"/>
        <w:gridCol w:w="945"/>
        <w:gridCol w:w="1080"/>
        <w:gridCol w:w="945"/>
        <w:gridCol w:w="900"/>
        <w:gridCol w:w="800"/>
        <w:gridCol w:w="717"/>
        <w:gridCol w:w="917"/>
        <w:gridCol w:w="800"/>
        <w:gridCol w:w="666"/>
        <w:gridCol w:w="2417"/>
        <w:gridCol w:w="717"/>
        <w:gridCol w:w="666"/>
        <w:gridCol w:w="517"/>
        <w:gridCol w:w="593"/>
      </w:tblGrid>
      <w:tr>
        <w:tblPrEx>
          <w:tblCellMar>
            <w:top w:w="0" w:type="dxa"/>
            <w:left w:w="0" w:type="dxa"/>
            <w:bottom w:w="0" w:type="dxa"/>
            <w:right w:w="0" w:type="dxa"/>
          </w:tblCellMar>
        </w:tblPrEx>
        <w:trPr>
          <w:trHeight w:val="2053" w:hRule="atLeast"/>
          <w:jc w:val="center"/>
        </w:trPr>
        <w:tc>
          <w:tcPr>
            <w:tcW w:w="6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序号</w:t>
            </w:r>
          </w:p>
        </w:tc>
        <w:tc>
          <w:tcPr>
            <w:tcW w:w="76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县（市、区）</w:t>
            </w:r>
          </w:p>
        </w:tc>
        <w:tc>
          <w:tcPr>
            <w:tcW w:w="9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新型经营主体名称</w:t>
            </w:r>
          </w:p>
        </w:tc>
        <w:tc>
          <w:tcPr>
            <w:tcW w:w="10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养殖场地址（×县×乡×村）</w:t>
            </w:r>
          </w:p>
        </w:tc>
        <w:tc>
          <w:tcPr>
            <w:tcW w:w="9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法人代表或实际负责人</w:t>
            </w:r>
          </w:p>
        </w:tc>
        <w:tc>
          <w:tcPr>
            <w:tcW w:w="900" w:type="dxa"/>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kern w:val="0"/>
                <w:sz w:val="22"/>
                <w:lang w:bidi="ar"/>
              </w:rPr>
            </w:pPr>
            <w:r>
              <w:rPr>
                <w:rFonts w:hint="eastAsia" w:ascii="方正黑体_GBK" w:hAnsi="方正黑体_GBK" w:eastAsia="方正黑体_GBK" w:cs="方正黑体_GBK"/>
                <w:color w:val="000000"/>
                <w:kern w:val="0"/>
                <w:sz w:val="22"/>
                <w:lang w:bidi="ar"/>
              </w:rPr>
              <w:t>所属类别（农民合作社或家庭农场）</w:t>
            </w:r>
          </w:p>
        </w:tc>
        <w:tc>
          <w:tcPr>
            <w:tcW w:w="800" w:type="dxa"/>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kern w:val="0"/>
                <w:sz w:val="22"/>
                <w:lang w:bidi="ar"/>
              </w:rPr>
            </w:pPr>
            <w:r>
              <w:rPr>
                <w:rFonts w:hint="eastAsia" w:ascii="方正黑体_GBK" w:hAnsi="方正黑体_GBK" w:eastAsia="方正黑体_GBK" w:cs="方正黑体_GBK"/>
                <w:color w:val="000000"/>
                <w:kern w:val="0"/>
                <w:sz w:val="22"/>
                <w:lang w:bidi="ar"/>
              </w:rPr>
              <w:t>养殖畜种（肉牛/奶牛）</w:t>
            </w:r>
          </w:p>
        </w:tc>
        <w:tc>
          <w:tcPr>
            <w:tcW w:w="717" w:type="dxa"/>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养殖场区总占地面积（亩）</w:t>
            </w:r>
          </w:p>
        </w:tc>
        <w:tc>
          <w:tcPr>
            <w:tcW w:w="917" w:type="dxa"/>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kern w:val="0"/>
                <w:sz w:val="22"/>
                <w:lang w:bidi="ar"/>
              </w:rPr>
            </w:pPr>
            <w:r>
              <w:rPr>
                <w:rFonts w:hint="eastAsia" w:ascii="方正黑体_GBK" w:hAnsi="方正黑体_GBK" w:eastAsia="方正黑体_GBK" w:cs="方正黑体_GBK"/>
                <w:color w:val="000000"/>
                <w:kern w:val="0"/>
                <w:sz w:val="22"/>
                <w:lang w:bidi="ar"/>
              </w:rPr>
              <w:t>设计生产规模（肉牛场填报年出栏量，奶牛场填报存栏量）</w:t>
            </w:r>
          </w:p>
        </w:tc>
        <w:tc>
          <w:tcPr>
            <w:tcW w:w="800" w:type="dxa"/>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kern w:val="0"/>
                <w:sz w:val="22"/>
                <w:lang w:bidi="ar"/>
              </w:rPr>
            </w:pPr>
            <w:r>
              <w:rPr>
                <w:rFonts w:hint="eastAsia" w:ascii="方正黑体_GBK" w:hAnsi="方正黑体_GBK" w:eastAsia="方正黑体_GBK" w:cs="方正黑体_GBK"/>
                <w:color w:val="000000"/>
                <w:kern w:val="0"/>
                <w:sz w:val="22"/>
                <w:lang w:bidi="ar"/>
              </w:rPr>
              <w:t>当前实际存栏量（头）</w:t>
            </w:r>
          </w:p>
        </w:tc>
        <w:tc>
          <w:tcPr>
            <w:tcW w:w="666" w:type="dxa"/>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kern w:val="0"/>
                <w:sz w:val="22"/>
                <w:lang w:bidi="ar"/>
              </w:rPr>
            </w:pPr>
            <w:r>
              <w:rPr>
                <w:rFonts w:hint="eastAsia" w:ascii="方正黑体_GBK" w:hAnsi="方正黑体_GBK" w:eastAsia="方正黑体_GBK" w:cs="方正黑体_GBK"/>
                <w:color w:val="000000"/>
                <w:kern w:val="0"/>
                <w:sz w:val="22"/>
                <w:lang w:bidi="ar"/>
              </w:rPr>
              <w:t>2024年实际出栏量（头）</w:t>
            </w:r>
          </w:p>
        </w:tc>
        <w:tc>
          <w:tcPr>
            <w:tcW w:w="2417" w:type="dxa"/>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kern w:val="0"/>
                <w:sz w:val="22"/>
                <w:lang w:bidi="ar"/>
              </w:rPr>
            </w:pPr>
            <w:r>
              <w:rPr>
                <w:rFonts w:hint="eastAsia" w:ascii="方正黑体_GBK" w:hAnsi="方正黑体_GBK" w:eastAsia="方正黑体_GBK" w:cs="方正黑体_GBK"/>
                <w:color w:val="000000"/>
                <w:kern w:val="0"/>
                <w:sz w:val="22"/>
                <w:lang w:bidi="ar"/>
              </w:rPr>
              <w:t>2025年计划建设内容</w:t>
            </w:r>
          </w:p>
        </w:tc>
        <w:tc>
          <w:tcPr>
            <w:tcW w:w="717" w:type="dxa"/>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kern w:val="0"/>
                <w:sz w:val="22"/>
                <w:lang w:bidi="ar"/>
              </w:rPr>
            </w:pPr>
            <w:r>
              <w:rPr>
                <w:rFonts w:hint="eastAsia" w:ascii="方正黑体_GBK" w:hAnsi="方正黑体_GBK" w:eastAsia="方正黑体_GBK" w:cs="方正黑体_GBK"/>
                <w:kern w:val="0"/>
                <w:sz w:val="22"/>
                <w:lang w:bidi="ar"/>
              </w:rPr>
              <w:t>其中：计划新建畜位或栏位数量（个）</w:t>
            </w:r>
          </w:p>
        </w:tc>
        <w:tc>
          <w:tcPr>
            <w:tcW w:w="666" w:type="dxa"/>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kern w:val="0"/>
                <w:sz w:val="22"/>
                <w:lang w:bidi="ar"/>
              </w:rPr>
            </w:pPr>
            <w:r>
              <w:rPr>
                <w:rFonts w:hint="eastAsia" w:ascii="方正黑体_GBK" w:hAnsi="方正黑体_GBK" w:eastAsia="方正黑体_GBK" w:cs="方正黑体_GBK"/>
                <w:color w:val="000000"/>
                <w:kern w:val="0"/>
                <w:sz w:val="22"/>
                <w:lang w:bidi="ar"/>
              </w:rPr>
              <w:t>2025年项目计划投资金额（万元）</w:t>
            </w:r>
          </w:p>
        </w:tc>
        <w:tc>
          <w:tcPr>
            <w:tcW w:w="517" w:type="dxa"/>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kern w:val="0"/>
                <w:sz w:val="22"/>
                <w:lang w:bidi="ar"/>
              </w:rPr>
            </w:pPr>
            <w:r>
              <w:rPr>
                <w:rFonts w:hint="eastAsia" w:ascii="方正黑体_GBK" w:hAnsi="方正黑体_GBK" w:eastAsia="方正黑体_GBK" w:cs="方正黑体_GBK"/>
                <w:color w:val="000000"/>
                <w:kern w:val="0"/>
                <w:sz w:val="22"/>
                <w:lang w:bidi="ar"/>
              </w:rPr>
              <w:t>目前联农带农数量（户）</w:t>
            </w:r>
          </w:p>
        </w:tc>
        <w:tc>
          <w:tcPr>
            <w:tcW w:w="5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exact"/>
              <w:jc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备注</w:t>
            </w:r>
          </w:p>
        </w:tc>
      </w:tr>
      <w:tr>
        <w:tblPrEx>
          <w:tblCellMar>
            <w:top w:w="0" w:type="dxa"/>
            <w:left w:w="0" w:type="dxa"/>
            <w:bottom w:w="0" w:type="dxa"/>
            <w:right w:w="0" w:type="dxa"/>
          </w:tblCellMar>
        </w:tblPrEx>
        <w:trPr>
          <w:trHeight w:val="1389" w:hRule="atLeast"/>
          <w:jc w:val="center"/>
        </w:trPr>
        <w:tc>
          <w:tcPr>
            <w:tcW w:w="6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 xml:space="preserve"> </w:t>
            </w:r>
            <w:r>
              <w:rPr>
                <w:rFonts w:hint="eastAsia" w:ascii="方正黑体_GBK" w:hAnsi="方正黑体_GBK" w:eastAsia="方正黑体_GBK" w:cs="方正黑体_GBK"/>
                <w:color w:val="000000" w:themeColor="text1"/>
                <w:sz w:val="24"/>
                <w:lang w:val="en-US" w:eastAsia="zh-CN"/>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洛阳市孟区</w:t>
            </w:r>
          </w:p>
        </w:tc>
        <w:tc>
          <w:tcPr>
            <w:tcW w:w="9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孟津县佳丰养殖专业合作社</w:t>
            </w:r>
          </w:p>
        </w:tc>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洛阳市孟津区横水镇会瀍村</w:t>
            </w:r>
          </w:p>
        </w:tc>
        <w:tc>
          <w:tcPr>
            <w:tcW w:w="9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郭西军</w:t>
            </w:r>
          </w:p>
        </w:tc>
        <w:tc>
          <w:tcPr>
            <w:tcW w:w="900"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农民合作社</w:t>
            </w:r>
          </w:p>
        </w:tc>
        <w:tc>
          <w:tcPr>
            <w:tcW w:w="800"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肉牛</w:t>
            </w:r>
          </w:p>
        </w:tc>
        <w:tc>
          <w:tcPr>
            <w:tcW w:w="717"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19.18</w:t>
            </w:r>
          </w:p>
        </w:tc>
        <w:tc>
          <w:tcPr>
            <w:tcW w:w="917" w:type="dxa"/>
            <w:tcBorders>
              <w:top w:val="single" w:color="000000" w:sz="4" w:space="0"/>
              <w:left w:val="single" w:color="auto" w:sz="4" w:space="0"/>
              <w:bottom w:val="single" w:color="000000" w:sz="4" w:space="0"/>
              <w:right w:val="single" w:color="auto"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8</w:t>
            </w:r>
            <w:r>
              <w:rPr>
                <w:rFonts w:hint="eastAsia" w:ascii="方正黑体_GBK" w:hAnsi="方正黑体_GBK" w:eastAsia="方正黑体_GBK" w:cs="方正黑体_GBK"/>
                <w:color w:val="000000" w:themeColor="text1"/>
                <w:sz w:val="24"/>
                <w14:textFill>
                  <w14:solidFill>
                    <w14:schemeClr w14:val="tx1"/>
                  </w14:solidFill>
                </w14:textFill>
              </w:rPr>
              <w:t>00头</w:t>
            </w:r>
          </w:p>
        </w:tc>
        <w:tc>
          <w:tcPr>
            <w:tcW w:w="800" w:type="dxa"/>
            <w:tcBorders>
              <w:top w:val="single" w:color="000000" w:sz="4" w:space="0"/>
              <w:left w:val="single" w:color="auto" w:sz="4" w:space="0"/>
              <w:bottom w:val="single" w:color="000000" w:sz="4" w:space="0"/>
              <w:right w:val="single" w:color="auto"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26</w:t>
            </w:r>
            <w:r>
              <w:rPr>
                <w:rFonts w:hint="eastAsia" w:ascii="方正黑体_GBK" w:hAnsi="方正黑体_GBK" w:eastAsia="方正黑体_GBK" w:cs="方正黑体_GBK"/>
                <w:color w:val="000000" w:themeColor="text1"/>
                <w:sz w:val="24"/>
                <w14:textFill>
                  <w14:solidFill>
                    <w14:schemeClr w14:val="tx1"/>
                  </w14:solidFill>
                </w14:textFill>
              </w:rPr>
              <w:t>0</w:t>
            </w:r>
          </w:p>
        </w:tc>
        <w:tc>
          <w:tcPr>
            <w:tcW w:w="666" w:type="dxa"/>
            <w:tcBorders>
              <w:top w:val="single" w:color="000000" w:sz="4" w:space="0"/>
              <w:left w:val="single" w:color="auto" w:sz="4" w:space="0"/>
              <w:bottom w:val="single" w:color="000000" w:sz="4" w:space="0"/>
              <w:right w:val="single" w:color="auto"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2</w:t>
            </w:r>
            <w:r>
              <w:rPr>
                <w:rFonts w:hint="eastAsia" w:ascii="方正黑体_GBK" w:hAnsi="方正黑体_GBK" w:eastAsia="方正黑体_GBK" w:cs="方正黑体_GBK"/>
                <w:color w:val="000000" w:themeColor="text1"/>
                <w:sz w:val="24"/>
                <w14:textFill>
                  <w14:solidFill>
                    <w14:schemeClr w14:val="tx1"/>
                  </w14:solidFill>
                </w14:textFill>
              </w:rPr>
              <w:t>00</w:t>
            </w:r>
          </w:p>
        </w:tc>
        <w:tc>
          <w:tcPr>
            <w:tcW w:w="2417" w:type="dxa"/>
            <w:tcBorders>
              <w:top w:val="single" w:color="000000" w:sz="4" w:space="0"/>
              <w:left w:val="single" w:color="auto" w:sz="4" w:space="0"/>
              <w:bottom w:val="single" w:color="000000" w:sz="4" w:space="0"/>
              <w:right w:val="single" w:color="auto" w:sz="4" w:space="0"/>
            </w:tcBorders>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黑体_GBK" w:hAnsi="方正黑体_GBK" w:eastAsia="方正黑体_GBK" w:cs="方正黑体_GBK"/>
                <w:color w:val="000000" w:themeColor="text1"/>
                <w:sz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新建</w:t>
            </w:r>
            <w:r>
              <w:rPr>
                <w:rFonts w:hint="eastAsia" w:ascii="方正黑体_GBK" w:hAnsi="方正黑体_GBK" w:eastAsia="方正黑体_GBK" w:cs="方正黑体_GBK"/>
                <w:color w:val="000000" w:themeColor="text1"/>
                <w:sz w:val="24"/>
                <w:lang w:val="en-US" w:eastAsia="zh-CN"/>
                <w14:textFill>
                  <w14:solidFill>
                    <w14:schemeClr w14:val="tx1"/>
                  </w14:solidFill>
                </w14:textFill>
              </w:rPr>
              <w:t>1号</w:t>
            </w:r>
            <w:r>
              <w:rPr>
                <w:rFonts w:hint="eastAsia" w:ascii="方正黑体_GBK" w:hAnsi="方正黑体_GBK" w:eastAsia="方正黑体_GBK" w:cs="方正黑体_GBK"/>
                <w:color w:val="000000" w:themeColor="text1"/>
                <w:sz w:val="24"/>
                <w14:textFill>
                  <w14:solidFill>
                    <w14:schemeClr w14:val="tx1"/>
                  </w14:solidFill>
                </w14:textFill>
              </w:rPr>
              <w:t>牛舍</w:t>
            </w:r>
            <w:r>
              <w:rPr>
                <w:rFonts w:hint="eastAsia" w:ascii="方正黑体_GBK" w:hAnsi="方正黑体_GBK" w:eastAsia="方正黑体_GBK" w:cs="方正黑体_GBK"/>
                <w:color w:val="000000" w:themeColor="text1"/>
                <w:sz w:val="24"/>
                <w:lang w:val="en-US" w:eastAsia="zh-CN"/>
                <w14:textFill>
                  <w14:solidFill>
                    <w14:schemeClr w14:val="tx1"/>
                  </w14:solidFill>
                </w14:textFill>
              </w:rPr>
              <w:t>460</w:t>
            </w:r>
            <w:r>
              <w:rPr>
                <w:rFonts w:hint="eastAsia" w:ascii="方正黑体_GBK" w:hAnsi="方正黑体_GBK" w:eastAsia="方正黑体_GBK" w:cs="方正黑体_GBK"/>
                <w:color w:val="000000" w:themeColor="text1"/>
                <w:sz w:val="24"/>
                <w14:textFill>
                  <w14:solidFill>
                    <w14:schemeClr w14:val="tx1"/>
                  </w14:solidFill>
                </w14:textFill>
              </w:rPr>
              <w:t>平方</w:t>
            </w:r>
            <w:r>
              <w:rPr>
                <w:rFonts w:hint="eastAsia" w:ascii="方正黑体_GBK" w:hAnsi="方正黑体_GBK" w:eastAsia="方正黑体_GBK" w:cs="方正黑体_GBK"/>
                <w:color w:val="000000" w:themeColor="text1"/>
                <w:sz w:val="24"/>
                <w:lang w:eastAsia="zh-CN"/>
                <w14:textFill>
                  <w14:solidFill>
                    <w14:schemeClr w14:val="tx1"/>
                  </w14:solidFill>
                </w14:textFill>
              </w:rPr>
              <w:t>、</w:t>
            </w:r>
            <w:r>
              <w:rPr>
                <w:rFonts w:hint="eastAsia" w:ascii="方正黑体_GBK" w:hAnsi="方正黑体_GBK" w:eastAsia="方正黑体_GBK" w:cs="方正黑体_GBK"/>
                <w:color w:val="000000" w:themeColor="text1"/>
                <w:sz w:val="24"/>
                <w:lang w:val="en-US" w:eastAsia="zh-CN"/>
                <w14:textFill>
                  <w14:solidFill>
                    <w14:schemeClr w14:val="tx1"/>
                  </w14:solidFill>
                </w14:textFill>
              </w:rPr>
              <w:t>2号牛舍340平方。新购撒料车1辆、地磅1台、抓草车1辆。</w:t>
            </w:r>
          </w:p>
        </w:tc>
        <w:tc>
          <w:tcPr>
            <w:tcW w:w="717" w:type="dxa"/>
            <w:tcBorders>
              <w:top w:val="single" w:color="000000" w:sz="4" w:space="0"/>
              <w:left w:val="single" w:color="auto" w:sz="4" w:space="0"/>
              <w:bottom w:val="single" w:color="000000" w:sz="4" w:space="0"/>
              <w:right w:val="single" w:color="auto"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1</w:t>
            </w:r>
            <w:r>
              <w:rPr>
                <w:rFonts w:hint="eastAsia" w:ascii="方正黑体_GBK" w:hAnsi="方正黑体_GBK" w:eastAsia="方正黑体_GBK" w:cs="方正黑体_GBK"/>
                <w:color w:val="000000" w:themeColor="text1"/>
                <w:sz w:val="24"/>
                <w14:textFill>
                  <w14:solidFill>
                    <w14:schemeClr w14:val="tx1"/>
                  </w14:solidFill>
                </w14:textFill>
              </w:rPr>
              <w:t>00</w:t>
            </w:r>
          </w:p>
        </w:tc>
        <w:tc>
          <w:tcPr>
            <w:tcW w:w="666" w:type="dxa"/>
            <w:tcBorders>
              <w:top w:val="single" w:color="000000" w:sz="4" w:space="0"/>
              <w:left w:val="single" w:color="auto" w:sz="4" w:space="0"/>
              <w:bottom w:val="single" w:color="000000" w:sz="4" w:space="0"/>
              <w:right w:val="single" w:color="auto"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43</w:t>
            </w:r>
          </w:p>
        </w:tc>
        <w:tc>
          <w:tcPr>
            <w:tcW w:w="517" w:type="dxa"/>
            <w:tcBorders>
              <w:top w:val="single" w:color="000000" w:sz="4" w:space="0"/>
              <w:left w:val="single" w:color="auto" w:sz="4" w:space="0"/>
              <w:bottom w:val="single" w:color="000000" w:sz="4" w:space="0"/>
              <w:right w:val="single" w:color="auto"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130</w:t>
            </w:r>
          </w:p>
        </w:tc>
        <w:tc>
          <w:tcPr>
            <w:tcW w:w="5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729" w:hRule="atLeast"/>
          <w:jc w:val="center"/>
        </w:trPr>
        <w:tc>
          <w:tcPr>
            <w:tcW w:w="6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ind w:left="0" w:leftChars="0" w:right="0" w:rightChars="0"/>
              <w:jc w:val="center"/>
              <w:rPr>
                <w:rFonts w:hint="eastAsia" w:ascii="方正黑体_GBK" w:hAnsi="方正黑体_GBK" w:eastAsia="方正黑体_GBK" w:cs="方正黑体_GBK"/>
                <w:color w:val="000000" w:themeColor="text1"/>
                <w:sz w:val="24"/>
                <w:szCs w:val="24"/>
                <w:highlight w:val="no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孟津区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ind w:left="0" w:leftChars="0" w:right="0" w:rightChars="0"/>
              <w:jc w:val="center"/>
              <w:rPr>
                <w:rFonts w:hint="eastAsia" w:ascii="方正黑体_GBK" w:hAnsi="方正黑体_GBK" w:eastAsia="方正黑体_GBK" w:cs="方正黑体_GBK"/>
                <w:color w:val="000000" w:themeColor="text1"/>
                <w:sz w:val="24"/>
                <w:szCs w:val="24"/>
                <w:highlight w:val="no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孟津区牛壮壮养殖家庭农场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ind w:left="0" w:leftChars="0" w:right="0" w:rightChars="0"/>
              <w:jc w:val="center"/>
              <w:rPr>
                <w:rFonts w:hint="eastAsia" w:ascii="方正黑体_GBK" w:hAnsi="方正黑体_GBK" w:eastAsia="方正黑体_GBK" w:cs="方正黑体_GBK"/>
                <w:color w:val="000000" w:themeColor="text1"/>
                <w:sz w:val="24"/>
                <w:szCs w:val="24"/>
                <w:highlight w:val="no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孟津区常袋镇东地村</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ind w:left="0" w:leftChars="0" w:right="0" w:rightChars="0"/>
              <w:jc w:val="center"/>
              <w:rPr>
                <w:rFonts w:hint="eastAsia" w:ascii="方正黑体_GBK" w:hAnsi="方正黑体_GBK" w:eastAsia="方正黑体_GBK" w:cs="方正黑体_GBK"/>
                <w:color w:val="000000" w:themeColor="text1"/>
                <w:sz w:val="24"/>
                <w:szCs w:val="24"/>
                <w:highlight w:val="no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史玉亮</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pPr>
              <w:ind w:left="0" w:leftChars="0" w:right="0" w:rightChars="0"/>
              <w:jc w:val="center"/>
              <w:rPr>
                <w:rFonts w:hint="eastAsia" w:ascii="方正黑体_GBK" w:hAnsi="方正黑体_GBK" w:eastAsia="方正黑体_GBK" w:cs="方正黑体_GBK"/>
                <w:color w:val="000000" w:themeColor="text1"/>
                <w:sz w:val="24"/>
                <w:szCs w:val="24"/>
                <w:highlight w:val="no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家庭农场</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pPr>
              <w:ind w:left="0" w:leftChars="0" w:right="0" w:rightChars="0"/>
              <w:jc w:val="center"/>
              <w:rPr>
                <w:rFonts w:hint="eastAsia" w:ascii="方正黑体_GBK" w:hAnsi="方正黑体_GBK" w:eastAsia="方正黑体_GBK" w:cs="方正黑体_GBK"/>
                <w:color w:val="000000" w:themeColor="text1"/>
                <w:sz w:val="24"/>
                <w:szCs w:val="24"/>
                <w:highlight w:val="no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肉牛</w:t>
            </w:r>
          </w:p>
        </w:tc>
        <w:tc>
          <w:tcPr>
            <w:tcW w:w="717"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pPr>
              <w:ind w:left="0" w:leftChars="0" w:right="0" w:rightChars="0"/>
              <w:jc w:val="center"/>
              <w:rPr>
                <w:rFonts w:hint="eastAsia" w:ascii="方正黑体_GBK" w:hAnsi="方正黑体_GBK" w:eastAsia="方正黑体_GBK" w:cs="方正黑体_GBK"/>
                <w:color w:val="000000" w:themeColor="text1"/>
                <w:sz w:val="24"/>
                <w:szCs w:val="24"/>
                <w:highlight w:val="no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15.3</w:t>
            </w:r>
          </w:p>
        </w:tc>
        <w:tc>
          <w:tcPr>
            <w:tcW w:w="917" w:type="dxa"/>
            <w:tcBorders>
              <w:top w:val="single" w:color="000000" w:sz="4" w:space="0"/>
              <w:left w:val="single" w:color="auto" w:sz="4" w:space="0"/>
              <w:bottom w:val="single" w:color="000000" w:sz="4" w:space="0"/>
              <w:right w:val="single" w:color="auto" w:sz="4" w:space="0"/>
            </w:tcBorders>
            <w:shd w:val="clear" w:color="auto" w:fill="auto"/>
            <w:noWrap/>
            <w:tcMar>
              <w:top w:w="10" w:type="dxa"/>
              <w:left w:w="10" w:type="dxa"/>
              <w:right w:w="10" w:type="dxa"/>
            </w:tcMar>
            <w:vAlign w:val="center"/>
          </w:tcPr>
          <w:p>
            <w:pPr>
              <w:ind w:left="0" w:leftChars="0" w:right="0" w:rightChars="0"/>
              <w:jc w:val="center"/>
              <w:rPr>
                <w:rFonts w:hint="eastAsia" w:ascii="方正黑体_GBK" w:hAnsi="方正黑体_GBK" w:eastAsia="方正黑体_GBK" w:cs="方正黑体_GBK"/>
                <w:color w:val="000000" w:themeColor="text1"/>
                <w:sz w:val="24"/>
                <w:szCs w:val="24"/>
                <w:highlight w:val="no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500</w:t>
            </w:r>
          </w:p>
        </w:tc>
        <w:tc>
          <w:tcPr>
            <w:tcW w:w="800" w:type="dxa"/>
            <w:tcBorders>
              <w:top w:val="single" w:color="000000" w:sz="4" w:space="0"/>
              <w:left w:val="single" w:color="auto" w:sz="4" w:space="0"/>
              <w:bottom w:val="single" w:color="000000" w:sz="4" w:space="0"/>
              <w:right w:val="single" w:color="auto" w:sz="4" w:space="0"/>
            </w:tcBorders>
            <w:shd w:val="clear" w:color="auto" w:fill="auto"/>
            <w:noWrap/>
            <w:tcMar>
              <w:top w:w="10" w:type="dxa"/>
              <w:left w:w="10" w:type="dxa"/>
              <w:right w:w="10" w:type="dxa"/>
            </w:tcMar>
            <w:vAlign w:val="center"/>
          </w:tcPr>
          <w:p>
            <w:pPr>
              <w:ind w:left="0" w:leftChars="0" w:right="0" w:rightChars="0"/>
              <w:jc w:val="center"/>
              <w:rPr>
                <w:rFonts w:hint="eastAsia" w:ascii="方正黑体_GBK" w:hAnsi="方正黑体_GBK" w:eastAsia="方正黑体_GBK" w:cs="方正黑体_GBK"/>
                <w:color w:val="000000" w:themeColor="text1"/>
                <w:sz w:val="24"/>
                <w:szCs w:val="24"/>
                <w:highlight w:val="no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bidi="ar-SA"/>
                <w14:textFill>
                  <w14:solidFill>
                    <w14:schemeClr w14:val="tx1"/>
                  </w14:solidFill>
                </w14:textFill>
              </w:rPr>
              <w:t>300</w:t>
            </w:r>
          </w:p>
        </w:tc>
        <w:tc>
          <w:tcPr>
            <w:tcW w:w="666" w:type="dxa"/>
            <w:tcBorders>
              <w:top w:val="single" w:color="000000" w:sz="4" w:space="0"/>
              <w:left w:val="single" w:color="auto" w:sz="4" w:space="0"/>
              <w:bottom w:val="single" w:color="000000" w:sz="4" w:space="0"/>
              <w:right w:val="single" w:color="auto" w:sz="4" w:space="0"/>
            </w:tcBorders>
            <w:shd w:val="clear" w:color="auto" w:fill="auto"/>
            <w:noWrap/>
            <w:tcMar>
              <w:top w:w="10" w:type="dxa"/>
              <w:left w:w="10" w:type="dxa"/>
              <w:right w:w="10" w:type="dxa"/>
            </w:tcMar>
            <w:vAlign w:val="center"/>
          </w:tcPr>
          <w:p>
            <w:pPr>
              <w:ind w:left="0" w:leftChars="0" w:right="0" w:rightChars="0"/>
              <w:jc w:val="center"/>
              <w:rPr>
                <w:rFonts w:hint="eastAsia" w:ascii="方正黑体_GBK" w:hAnsi="方正黑体_GBK" w:eastAsia="方正黑体_GBK" w:cs="方正黑体_GBK"/>
                <w:color w:val="000000" w:themeColor="text1"/>
                <w:sz w:val="24"/>
                <w:szCs w:val="24"/>
                <w:highlight w:val="no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0</w:t>
            </w:r>
          </w:p>
        </w:tc>
        <w:tc>
          <w:tcPr>
            <w:tcW w:w="2417" w:type="dxa"/>
            <w:tcBorders>
              <w:top w:val="single" w:color="000000" w:sz="4" w:space="0"/>
              <w:left w:val="single" w:color="auto" w:sz="4" w:space="0"/>
              <w:bottom w:val="single" w:color="000000" w:sz="4" w:space="0"/>
              <w:right w:val="single" w:color="auto" w:sz="4" w:space="0"/>
            </w:tcBorders>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黑体_GBK" w:hAnsi="方正黑体_GBK" w:eastAsia="方正黑体_GBK" w:cs="方正黑体_GBK"/>
                <w:color w:val="000000" w:themeColor="text1"/>
                <w:sz w:val="24"/>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采购12立方立式TMR一台、撒料车1台、100吨地磅1台、恒温水槽10个、保定架1台、30型铲车1台、不锈钢排水槽（含PVC下水管）350米、喷淋300米、直径1.5米风扇15台。</w:t>
            </w:r>
          </w:p>
        </w:tc>
        <w:tc>
          <w:tcPr>
            <w:tcW w:w="717" w:type="dxa"/>
            <w:tcBorders>
              <w:top w:val="single" w:color="000000" w:sz="4" w:space="0"/>
              <w:left w:val="single" w:color="auto" w:sz="4" w:space="0"/>
              <w:bottom w:val="single" w:color="000000" w:sz="4" w:space="0"/>
              <w:right w:val="single" w:color="auto"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0</w:t>
            </w:r>
          </w:p>
        </w:tc>
        <w:tc>
          <w:tcPr>
            <w:tcW w:w="666" w:type="dxa"/>
            <w:tcBorders>
              <w:top w:val="single" w:color="000000" w:sz="4" w:space="0"/>
              <w:left w:val="single" w:color="auto" w:sz="4" w:space="0"/>
              <w:bottom w:val="single" w:color="000000" w:sz="4" w:space="0"/>
              <w:right w:val="single" w:color="auto"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39</w:t>
            </w:r>
          </w:p>
        </w:tc>
        <w:tc>
          <w:tcPr>
            <w:tcW w:w="517" w:type="dxa"/>
            <w:tcBorders>
              <w:top w:val="single" w:color="000000" w:sz="4" w:space="0"/>
              <w:left w:val="single" w:color="auto" w:sz="4" w:space="0"/>
              <w:bottom w:val="single" w:color="000000" w:sz="4" w:space="0"/>
              <w:right w:val="single" w:color="auto"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0</w:t>
            </w:r>
          </w:p>
        </w:tc>
        <w:tc>
          <w:tcPr>
            <w:tcW w:w="5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方正黑体_GBK" w:hAnsi="方正黑体_GBK" w:eastAsia="方正黑体_GBK" w:cs="方正黑体_GBK"/>
                <w:color w:val="000000" w:themeColor="text1"/>
                <w:sz w:val="24"/>
                <w:szCs w:val="24"/>
                <w14:textFill>
                  <w14:solidFill>
                    <w14:schemeClr w14:val="tx1"/>
                  </w14:solidFill>
                </w14:textFill>
              </w:rPr>
            </w:pPr>
          </w:p>
        </w:tc>
      </w:tr>
    </w:tbl>
    <w:p>
      <w:pPr>
        <w:pStyle w:val="9"/>
        <w:spacing w:line="300" w:lineRule="exact"/>
        <w:ind w:left="0" w:leftChars="0"/>
        <w:rPr>
          <w:rFonts w:hint="default"/>
          <w:lang w:val="en-US" w:eastAsia="zh-CN"/>
        </w:rPr>
      </w:pPr>
      <w:r>
        <w:rPr>
          <w:rFonts w:hint="eastAsia" w:ascii="方正黑体_GBK" w:hAnsi="方正黑体_GBK" w:eastAsia="方正黑体_GBK" w:cs="方正黑体_GBK"/>
          <w:color w:val="000000" w:themeColor="text1"/>
          <w:sz w:val="24"/>
          <w:szCs w:val="24"/>
          <w14:textFill>
            <w14:solidFill>
              <w14:schemeClr w14:val="tx1"/>
            </w14:solidFill>
          </w14:textFill>
        </w:rPr>
        <w:t>注：原则上，每头肉牛畜位不低于4平方米（不含运动场和过道，下同）、奶牛不低于6平</w:t>
      </w: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方米</w:t>
      </w:r>
      <w:r>
        <w:rPr>
          <w:rFonts w:hint="eastAsia" w:ascii="方正黑体_GBK" w:hAnsi="方正黑体_GBK" w:eastAsia="方正黑体_GBK" w:cs="方正黑体_GBK"/>
          <w:color w:val="000000" w:themeColor="text1"/>
          <w:sz w:val="24"/>
          <w:szCs w:val="24"/>
          <w:lang w:val="en-US" w:eastAsia="zh-CN"/>
          <w14:textFill>
            <w14:solidFill>
              <w14:schemeClr w14:val="tx1"/>
            </w14:solidFill>
          </w14:textFill>
        </w:rPr>
        <w:t>。</w:t>
      </w: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49</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A5324"/>
    <w:rsid w:val="035A5324"/>
    <w:rsid w:val="076F17EB"/>
    <w:rsid w:val="0DD405FA"/>
    <w:rsid w:val="16717A84"/>
    <w:rsid w:val="18EB624A"/>
    <w:rsid w:val="199C4212"/>
    <w:rsid w:val="1E5E47E0"/>
    <w:rsid w:val="24D740D4"/>
    <w:rsid w:val="29C462C9"/>
    <w:rsid w:val="2C180F8A"/>
    <w:rsid w:val="33D35AB9"/>
    <w:rsid w:val="34B579AE"/>
    <w:rsid w:val="375F0490"/>
    <w:rsid w:val="3C8368AC"/>
    <w:rsid w:val="3D09356D"/>
    <w:rsid w:val="3EE33840"/>
    <w:rsid w:val="3F29033E"/>
    <w:rsid w:val="4BF93285"/>
    <w:rsid w:val="4EAC01FC"/>
    <w:rsid w:val="51B51DED"/>
    <w:rsid w:val="6D2F7199"/>
    <w:rsid w:val="6E5D0773"/>
    <w:rsid w:val="6E9D3265"/>
    <w:rsid w:val="6F742218"/>
    <w:rsid w:val="774E786C"/>
    <w:rsid w:val="7E265025"/>
    <w:rsid w:val="7FC00255"/>
    <w:rsid w:val="FCFD7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next w:val="4"/>
    <w:qFormat/>
    <w:uiPriority w:val="0"/>
    <w:pPr>
      <w:spacing w:after="120" w:line="480" w:lineRule="auto"/>
    </w:pPr>
    <w:rPr>
      <w:rFonts w:ascii="Times New Roman" w:hAnsi="Times New Roman" w:eastAsia="仿宋"/>
      <w:sz w:val="32"/>
      <w:szCs w:val="24"/>
    </w:rPr>
  </w:style>
  <w:style w:type="paragraph" w:styleId="4">
    <w:name w:val="Body Text First Indent 2"/>
    <w:basedOn w:val="5"/>
    <w:next w:val="6"/>
    <w:qFormat/>
    <w:uiPriority w:val="0"/>
    <w:pPr>
      <w:ind w:firstLine="420" w:firstLineChars="200"/>
    </w:pPr>
  </w:style>
  <w:style w:type="paragraph" w:styleId="5">
    <w:name w:val="Body Text Indent"/>
    <w:basedOn w:val="1"/>
    <w:next w:val="4"/>
    <w:qFormat/>
    <w:uiPriority w:val="0"/>
    <w:pPr>
      <w:ind w:left="420" w:leftChars="200"/>
    </w:pPr>
    <w:rPr>
      <w:rFonts w:ascii="Calibri" w:hAnsi="Calibri" w:eastAsia="宋体" w:cs="Times New Roman"/>
      <w:szCs w:val="24"/>
    </w:rPr>
  </w:style>
  <w:style w:type="paragraph" w:styleId="6">
    <w:name w:val="Body Text First Indent"/>
    <w:basedOn w:val="2"/>
    <w:next w:val="3"/>
    <w:qFormat/>
    <w:uiPriority w:val="0"/>
    <w:pPr>
      <w:ind w:firstLine="420" w:firstLineChars="100"/>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tabs>
        <w:tab w:val="right" w:leader="dot" w:pos="8302"/>
      </w:tabs>
      <w:spacing w:line="720" w:lineRule="auto"/>
      <w:ind w:left="540" w:leftChars="257"/>
    </w:pPr>
  </w:style>
  <w:style w:type="paragraph" w:customStyle="1" w:styleId="12">
    <w:name w:val="Body Text 21"/>
    <w:basedOn w:val="1"/>
    <w:qFormat/>
    <w:uiPriority w:val="0"/>
    <w:pPr>
      <w:spacing w:after="120" w:afterLines="0" w:line="480" w:lineRule="auto"/>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1509</Words>
  <Characters>1610</Characters>
  <Lines>0</Lines>
  <Paragraphs>0</Paragraphs>
  <TotalTime>5</TotalTime>
  <ScaleCrop>false</ScaleCrop>
  <LinksUpToDate>false</LinksUpToDate>
  <CharactersWithSpaces>1661</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2025-07-15T11:37:00Z</dcterms:created>
  <dc:creator>辉</dc:creator>
  <cp:lastModifiedBy>zfb-320-01</cp:lastModifiedBy>
  <cp:lastPrinted>2025-08-11T09:59:00Z</cp:lastPrinted>
  <dcterms:modified xsi:type="dcterms:W3CDTF">2025-10-28T10:32:12Z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4E5371E67F2C484B8F875944192A8AF2_13</vt:lpwstr>
  </property>
  <property fmtid="{D5CDD505-2E9C-101B-9397-08002B2CF9AE}" pid="4" name="KSOTemplateDocerSaveRecord">
    <vt:lpwstr>eyJoZGlkIjoiYmUyNzNiZTk3Yjc2ODliMDdjNzQ1ZjFjZWU0YmUxZjMiLCJ1c2VySWQiOiI3ODk1MTU1MTYifQ==</vt:lpwstr>
  </property>
</Properties>
</file>