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94" w:lineRule="exact"/>
        <w:jc w:val="right"/>
        <w:textAlignment w:val="auto"/>
        <w:rPr>
          <w:rFonts w:hint="default" w:ascii="Times New Roman" w:hAnsi="Times New Roman" w:eastAsia="仿宋_GB2312" w:cs="Times New Roman"/>
          <w:color w:val="000000" w:themeColor="text1"/>
          <w:kern w:val="0"/>
          <w:sz w:val="32"/>
          <w:szCs w:val="32"/>
          <w:shd w:val="clear" w:color="auto" w:fill="auto"/>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auto"/>
          <w:lang w:val="en-US" w:eastAsia="zh-CN"/>
          <w14:textFill>
            <w14:solidFill>
              <w14:schemeClr w14:val="tx1"/>
            </w14:solidFill>
          </w14:textFill>
        </w:rPr>
        <w:t>孟政规—2025—002号</w:t>
      </w:r>
    </w:p>
    <w:p>
      <w:pPr>
        <w:keepNext w:val="0"/>
        <w:keepLines w:val="0"/>
        <w:pageBreakBefore w:val="0"/>
        <w:widowControl w:val="0"/>
        <w:kinsoku/>
        <w:wordWrap/>
        <w:overflowPunct/>
        <w:topLinePunct w:val="0"/>
        <w:autoSpaceDE/>
        <w:autoSpaceDN/>
        <w:bidi w:val="0"/>
        <w:adjustRightInd/>
        <w:snapToGrid w:val="0"/>
        <w:spacing w:line="594" w:lineRule="exact"/>
        <w:jc w:val="both"/>
        <w:textAlignment w:val="auto"/>
        <w:rPr>
          <w:rFonts w:hint="default" w:ascii="Times New Roman" w:hAnsi="Times New Roman" w:eastAsia="黑体"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94" w:lineRule="exact"/>
        <w:jc w:val="both"/>
        <w:textAlignment w:val="auto"/>
        <w:rPr>
          <w:rFonts w:hint="default" w:ascii="Times New Roman" w:hAnsi="Times New Roman" w:eastAsia="黑体"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cs="Times New Roman"/>
          <w:color w:val="000000" w:themeColor="text1"/>
          <w:kern w:val="0"/>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-796290</wp:posOffset>
                </wp:positionH>
                <wp:positionV relativeFrom="paragraph">
                  <wp:posOffset>204470</wp:posOffset>
                </wp:positionV>
                <wp:extent cx="635" cy="127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635"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62.7pt;margin-top:16.1pt;height:0.1pt;width:0.05pt;z-index:251661312;mso-width-relative:page;mso-height-relative:page;" filled="f" stroked="t" coordsize="21600,21600" o:gfxdata="UEsDBAoAAAAAAIdO4kAAAAAAAAAAAAAAAAAEAAAAZHJzL1BLAwQUAAAACACHTuJAYAYi6tcAAAAL&#10;AQAADwAAAGRycy9kb3ducmV2LnhtbE2PwU7DMAyG70i8Q2QkblvSdCAoTSeEgAsSEqPbOW1MW5E4&#10;VZN14+1JT3D070+/P5fbs7NsxikMnhRkawEMqfVmoE5B/fmyugMWoiajrSdU8IMBttXlRakL40/0&#10;gfMudiyVUCi0gj7GseA8tD06HdZ+REq7Lz85HdM4ddxM+pTKneVSiFvu9EDpQq9HfOqx/d4dnYLH&#10;w9tz/j43zltz39V742rxKpW6vsrEA7CI5/gHw6Kf1KFKTo0/kgnMKlhl8maTWAW5lMASsSQ5sGZJ&#10;NsCrkv//ofoFUEsDBBQAAAAIAIdO4kBT2GSC4QEAAJ8DAAAOAAAAZHJzL2Uyb0RvYy54bWytU0uO&#10;EzEQ3SNxB8t70kmjGaCVziwmDBsEI/HZV/zptuSfXJ50cgkugMQOVizZcxuGY1B2QvhtEKIXpXJV&#10;+VW95+rlxc5ZtlUJTfA9X8zmnCkvgjR+6Pmrl1f3HnKGGbwEG7zq+V4hv1jdvbOcYqfaMAYrVWIE&#10;4rGbYs/HnGPXNChG5QBnISpPSR2Sg0zHNDQywUTozjbtfH7eTCHJmIJQiBRdH5J8VfG1ViI/1xpV&#10;ZrbnNFuuNlW7KbZZLaEbEsTRiOMY8A9TODCemp6g1pCB3STzB5QzIgUMOs9EcE3Q2ghVORCbxfw3&#10;Ni9GiKpyIXEwnmTC/wcrnm2vEzOy5y1nHhw90e3bT1/evP/6+R3Z248fWFtEmiJ2VHvpr9PxhPE6&#10;FcY7nRzT1sTX9P5VA2LFdlXi/UlitctMUPD8/hlnguKL9kFVvzkgFKSYMD9RwbHi9NwaX8hDB9un&#10;mKkrlX4vKWHr2dTzR2dtQQTaHW0hk+sisUE/1LsYrJFXxtpyA9OwubSJbaFsQ/0KN8L9paw0WQOO&#10;h7qaOuzJqEA+9pLlfSSdPC00LyM4JTmziva/eAQIXQZj/6aSWltPExR5D4IWbxPknl7lJiYzjKTE&#10;ok5ZMrQFdd7jxpY1+/lckX78V6t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AYi6tcAAAALAQAA&#10;DwAAAAAAAAABACAAAAAiAAAAZHJzL2Rvd25yZXYueG1sUEsBAhQAFAAAAAgAh07iQFPYZILhAQAA&#10;nwMAAA4AAAAAAAAAAQAgAAAAJgEAAGRycy9lMm9Eb2MueG1sUEsFBgAAAAAGAAYAWQEAAHkFAAAA&#10;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cs="Times New Roman"/>
          <w:color w:val="000000" w:themeColor="text1"/>
          <w:kern w:val="0"/>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eastAsia="仿宋_GB2312" w:cs="Times New Roman"/>
          <w:color w:val="000000" w:themeColor="text1"/>
          <w:kern w:val="0"/>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cs="Times New Roman"/>
          <w:color w:val="000000" w:themeColor="text1"/>
          <w:kern w:val="0"/>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eastAsia"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cs="Times New Roman"/>
          <w:color w:val="000000" w:themeColor="text1"/>
          <w:kern w:val="0"/>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孟政办〔</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2025</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8号</w:t>
      </w: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eastAsia"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cs="Times New Roman"/>
          <w:color w:val="000000" w:themeColor="text1"/>
          <w:kern w:val="0"/>
          <w:sz w:val="32"/>
          <w:szCs w:val="32"/>
          <w:lang w:val="en-US" w:eastAsia="zh-CN"/>
          <w14:textFill>
            <w14:solidFill>
              <w14:schemeClr w14:val="tx1"/>
            </w14:solidFill>
          </w14:textFill>
        </w:rPr>
      </w:pPr>
      <w:r>
        <w:rPr>
          <w:rFonts w:hint="eastAsia" w:cs="Times New Roman"/>
          <w:color w:val="000000" w:themeColor="text1"/>
          <w:kern w:val="0"/>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cs="Times New Roman"/>
          <w:color w:val="000000" w:themeColor="text1"/>
          <w:kern w:val="0"/>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cs="Times New Roman"/>
          <w:color w:val="000000" w:themeColor="text1"/>
          <w:kern w:val="0"/>
          <w:sz w:val="32"/>
          <w:szCs w:val="32"/>
          <w:lang w:val="en-US" w:eastAsia="zh-CN"/>
          <w14:textFill>
            <w14:solidFill>
              <w14:schemeClr w14:val="tx1"/>
            </w14:solidFill>
          </w14:textFill>
        </w:rPr>
      </w:pPr>
      <w:r>
        <w:rPr>
          <w:rFonts w:hint="default" w:ascii="Times New Roman" w:hAnsi="Times New Roman" w:cs="Times New Roman"/>
          <w:color w:val="000000" w:themeColor="text1"/>
          <w:kern w:val="0"/>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cs="Times New Roman"/>
          <w:color w:val="000000" w:themeColor="text1"/>
          <w:kern w:val="0"/>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0" w:lineRule="exact"/>
        <w:jc w:val="center"/>
        <w:textAlignment w:val="auto"/>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color w:val="000000" w:themeColor="text1"/>
          <w:kern w:val="0"/>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kern w:val="0"/>
          <w:sz w:val="44"/>
          <w:szCs w:val="44"/>
          <w:lang w:val="en-US" w:eastAsia="zh-CN"/>
          <w14:textFill>
            <w14:solidFill>
              <w14:schemeClr w14:val="tx1"/>
            </w14:solidFill>
          </w14:textFill>
        </w:rPr>
        <w:t>洛阳市孟津区人民政府办公室</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color w:val="000000" w:themeColor="text1"/>
          <w:kern w:val="0"/>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kern w:val="0"/>
          <w:sz w:val="44"/>
          <w:szCs w:val="44"/>
          <w:lang w:val="en-US" w:eastAsia="zh-CN"/>
          <w14:textFill>
            <w14:solidFill>
              <w14:schemeClr w14:val="tx1"/>
            </w14:solidFill>
          </w14:textFill>
        </w:rPr>
        <w:t>关于印发孟津区促进乡村产业集中连片发展的</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color w:val="000000" w:themeColor="text1"/>
          <w:kern w:val="0"/>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kern w:val="0"/>
          <w:sz w:val="44"/>
          <w:szCs w:val="44"/>
          <w:lang w:val="en-US" w:eastAsia="zh-CN"/>
          <w14:textFill>
            <w14:solidFill>
              <w14:schemeClr w14:val="tx1"/>
            </w14:solidFill>
          </w14:textFill>
        </w:rPr>
        <w:t>若干措施（2025—2027年）的通知</w:t>
      </w:r>
    </w:p>
    <w:p>
      <w:pPr>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各镇（街道）人民政府（办事处），区人民政府有关部门，各有关单位：</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《孟津区促进乡村产业集中连片发展的若干措施（2025—2027年）》已经区政府常务会议研究通过，现印发给你们，请认真贯彻执行。</w:t>
      </w:r>
    </w:p>
    <w:p>
      <w:pPr>
        <w:keepNext w:val="0"/>
        <w:keepLines w:val="0"/>
        <w:pageBreakBefore w:val="0"/>
        <w:widowControl w:val="0"/>
        <w:kinsoku/>
        <w:wordWrap/>
        <w:overflowPunct/>
        <w:topLinePunct w:val="0"/>
        <w:autoSpaceDE/>
        <w:autoSpaceDN/>
        <w:bidi w:val="0"/>
        <w:adjustRightInd/>
        <w:snapToGrid w:val="0"/>
        <w:spacing w:line="1920" w:lineRule="exact"/>
        <w:jc w:val="both"/>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val="0"/>
        <w:spacing w:line="440" w:lineRule="exact"/>
        <w:jc w:val="right"/>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2025年7月31日　　　　</w:t>
      </w:r>
    </w:p>
    <w:p>
      <w:pPr>
        <w:keepNext w:val="0"/>
        <w:keepLines w:val="0"/>
        <w:pageBreakBefore w:val="0"/>
        <w:widowControl w:val="0"/>
        <w:kinsoku/>
        <w:wordWrap w:val="0"/>
        <w:overflowPunct/>
        <w:topLinePunct w:val="0"/>
        <w:autoSpaceDE/>
        <w:autoSpaceDN/>
        <w:bidi w:val="0"/>
        <w:adjustRightInd/>
        <w:snapToGrid w:val="0"/>
        <w:spacing w:line="200" w:lineRule="exact"/>
        <w:jc w:val="right"/>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eastAsia="仿宋_GB2312" w:cs="Times New Roman"/>
          <w:color w:val="000000" w:themeColor="text1"/>
          <w:kern w:val="0"/>
          <w:sz w:val="32"/>
          <w:szCs w:val="32"/>
          <w:lang w:val="en-US" w:eastAsia="zh-CN"/>
          <w14:textFill>
            <w14:solidFill>
              <w14:schemeClr w14:val="tx1"/>
            </w14:solidFill>
          </w14:textFill>
        </w:rPr>
        <w:t xml:space="preserve"> </w:t>
      </w:r>
    </w:p>
    <w:p>
      <w:pPr>
        <w:rPr>
          <w:rFonts w:hint="default" w:ascii="Times New Roman" w:hAnsi="Times New Roman" w:eastAsia="方正小标宋简体" w:cs="Times New Roman"/>
          <w:b w:val="0"/>
          <w:bCs/>
          <w:color w:val="000000" w:themeColor="text1"/>
          <w:spacing w:val="0"/>
          <w:w w:val="100"/>
          <w:kern w:val="0"/>
          <w:sz w:val="44"/>
          <w:szCs w:val="44"/>
          <w:highlight w:val="none"/>
          <w:lang w:val="en-US" w:eastAsia="zh-CN"/>
          <w14:textFill>
            <w14:solidFill>
              <w14:schemeClr w14:val="tx1"/>
            </w14:solidFill>
          </w14:textFill>
        </w:rPr>
      </w:pPr>
      <w:r>
        <w:rPr>
          <w:rFonts w:hint="default" w:ascii="Times New Roman" w:hAnsi="Times New Roman" w:eastAsia="方正小标宋简体" w:cs="Times New Roman"/>
          <w:b w:val="0"/>
          <w:bCs/>
          <w:color w:val="000000" w:themeColor="text1"/>
          <w:spacing w:val="0"/>
          <w:w w:val="100"/>
          <w:kern w:val="0"/>
          <w:sz w:val="44"/>
          <w:szCs w:val="44"/>
          <w:highlight w:val="none"/>
          <w:lang w:val="en-US" w:eastAsia="zh-CN"/>
          <w14:textFill>
            <w14:solidFill>
              <w14:schemeClr w14:val="tx1"/>
            </w14:solidFill>
          </w14:textFill>
        </w:rPr>
        <w:br w:type="page"/>
      </w:r>
    </w:p>
    <w:p>
      <w:pPr>
        <w:pStyle w:val="2"/>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726" w:lineRule="exact"/>
        <w:jc w:val="center"/>
        <w:textAlignment w:val="auto"/>
        <w:rPr>
          <w:rFonts w:hint="default" w:ascii="Times New Roman" w:hAnsi="Times New Roman" w:eastAsia="方正小标宋简体" w:cs="Times New Roman"/>
          <w:b w:val="0"/>
          <w:bCs/>
          <w:color w:val="000000" w:themeColor="text1"/>
          <w:spacing w:val="0"/>
          <w:w w:val="100"/>
          <w:kern w:val="0"/>
          <w:sz w:val="44"/>
          <w:szCs w:val="44"/>
          <w:highlight w:val="none"/>
          <w:lang w:eastAsia="zh-CN"/>
          <w14:textFill>
            <w14:solidFill>
              <w14:schemeClr w14:val="tx1"/>
            </w14:solidFill>
          </w14:textFill>
        </w:rPr>
      </w:pPr>
      <w:r>
        <w:rPr>
          <w:rFonts w:hint="default" w:ascii="Times New Roman" w:hAnsi="Times New Roman" w:eastAsia="方正小标宋简体" w:cs="Times New Roman"/>
          <w:b w:val="0"/>
          <w:bCs/>
          <w:color w:val="000000" w:themeColor="text1"/>
          <w:spacing w:val="0"/>
          <w:w w:val="100"/>
          <w:kern w:val="0"/>
          <w:sz w:val="44"/>
          <w:szCs w:val="44"/>
          <w:highlight w:val="none"/>
          <w:lang w:val="en-US" w:eastAsia="zh-CN"/>
          <w14:textFill>
            <w14:solidFill>
              <w14:schemeClr w14:val="tx1"/>
            </w14:solidFill>
          </w14:textFill>
        </w:rPr>
        <w:t>孟津区促进</w:t>
      </w:r>
      <w:r>
        <w:rPr>
          <w:rFonts w:hint="default" w:ascii="Times New Roman" w:hAnsi="Times New Roman" w:eastAsia="方正小标宋简体" w:cs="Times New Roman"/>
          <w:b w:val="0"/>
          <w:bCs/>
          <w:color w:val="000000" w:themeColor="text1"/>
          <w:spacing w:val="0"/>
          <w:w w:val="100"/>
          <w:kern w:val="0"/>
          <w:sz w:val="44"/>
          <w:szCs w:val="44"/>
          <w:highlight w:val="none"/>
          <w:lang w:eastAsia="zh-CN"/>
          <w14:textFill>
            <w14:solidFill>
              <w14:schemeClr w14:val="tx1"/>
            </w14:solidFill>
          </w14:textFill>
        </w:rPr>
        <w:t>乡村产业集中连片发展的</w:t>
      </w:r>
    </w:p>
    <w:p>
      <w:pPr>
        <w:keepNext w:val="0"/>
        <w:keepLines w:val="0"/>
        <w:pageBreakBefore w:val="0"/>
        <w:widowControl w:val="0"/>
        <w:kinsoku/>
        <w:wordWrap/>
        <w:overflowPunct/>
        <w:topLinePunct w:val="0"/>
        <w:autoSpaceDE/>
        <w:autoSpaceDN/>
        <w:bidi w:val="0"/>
        <w:adjustRightInd w:val="0"/>
        <w:snapToGrid w:val="0"/>
        <w:spacing w:line="726" w:lineRule="exact"/>
        <w:jc w:val="center"/>
        <w:textAlignment w:val="auto"/>
        <w:rPr>
          <w:rFonts w:hint="default" w:ascii="Times New Roman" w:hAnsi="Times New Roman" w:eastAsia="方正小标宋简体" w:cs="Times New Roman"/>
          <w:b w:val="0"/>
          <w:bCs/>
          <w:color w:val="000000" w:themeColor="text1"/>
          <w:spacing w:val="0"/>
          <w:w w:val="100"/>
          <w:kern w:val="0"/>
          <w:sz w:val="44"/>
          <w:szCs w:val="44"/>
          <w:highlight w:val="none"/>
          <w:lang w:eastAsia="zh-CN"/>
          <w14:textFill>
            <w14:solidFill>
              <w14:schemeClr w14:val="tx1"/>
            </w14:solidFill>
          </w14:textFill>
        </w:rPr>
      </w:pPr>
      <w:r>
        <w:rPr>
          <w:rFonts w:hint="default" w:ascii="Times New Roman" w:hAnsi="Times New Roman" w:eastAsia="方正小标宋简体" w:cs="Times New Roman"/>
          <w:b w:val="0"/>
          <w:bCs/>
          <w:color w:val="000000" w:themeColor="text1"/>
          <w:spacing w:val="0"/>
          <w:w w:val="100"/>
          <w:kern w:val="0"/>
          <w:sz w:val="44"/>
          <w:szCs w:val="44"/>
          <w:highlight w:val="none"/>
          <w:lang w:eastAsia="zh-CN"/>
          <w14:textFill>
            <w14:solidFill>
              <w14:schemeClr w14:val="tx1"/>
            </w14:solidFill>
          </w14:textFill>
        </w:rPr>
        <w:t>若干措施（2025—2027年）</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为贯彻落实区委乡村振兴</w:t>
      </w:r>
      <w:r>
        <w:rPr>
          <w:rFonts w:hint="eastAsia"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186</w:t>
      </w:r>
      <w:r>
        <w:rPr>
          <w:rFonts w:hint="eastAsia"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工作思路，</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在稳定粮食生产的基础上，坚持以</w:t>
      </w:r>
      <w:r>
        <w:rPr>
          <w:rFonts w:hint="eastAsia"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五化</w:t>
      </w:r>
      <w:r>
        <w:rPr>
          <w:rFonts w:hint="eastAsia"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理念抓现代农业，加快</w:t>
      </w:r>
      <w:r>
        <w:rPr>
          <w:rFonts w:hint="eastAsia"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2+2+N</w:t>
      </w:r>
      <w:r>
        <w:rPr>
          <w:rFonts w:hint="eastAsia"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产业</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布局，推动全区农业产业转型升级，建设农业强区，</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特制定以下</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政策</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措施。</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黑体" w:hAnsi="黑体" w:eastAsia="黑体" w:cs="黑体"/>
          <w:b w:val="0"/>
          <w:bCs w:val="0"/>
          <w:snapToGrid w:val="0"/>
          <w:color w:val="000000" w:themeColor="text1"/>
          <w:spacing w:val="0"/>
          <w:w w:val="100"/>
          <w:kern w:val="0"/>
          <w:sz w:val="32"/>
          <w:szCs w:val="32"/>
          <w:highlight w:val="none"/>
          <w14:textFill>
            <w14:solidFill>
              <w14:schemeClr w14:val="tx1"/>
            </w14:solidFill>
          </w14:textFill>
        </w:rPr>
      </w:pPr>
      <w:r>
        <w:rPr>
          <w:rFonts w:hint="eastAsia" w:ascii="黑体" w:hAnsi="黑体" w:eastAsia="黑体" w:cs="黑体"/>
          <w:b w:val="0"/>
          <w:bCs w:val="0"/>
          <w:snapToGrid w:val="0"/>
          <w:color w:val="000000" w:themeColor="text1"/>
          <w:spacing w:val="0"/>
          <w:w w:val="100"/>
          <w:kern w:val="0"/>
          <w:sz w:val="32"/>
          <w:szCs w:val="32"/>
          <w:highlight w:val="none"/>
          <w14:textFill>
            <w14:solidFill>
              <w14:schemeClr w14:val="tx1"/>
            </w14:solidFill>
          </w14:textFill>
        </w:rPr>
        <w:t>一、支持</w:t>
      </w:r>
      <w:r>
        <w:rPr>
          <w:rFonts w:hint="eastAsia" w:ascii="黑体" w:hAnsi="黑体" w:eastAsia="黑体" w:cs="黑体"/>
          <w:b w:val="0"/>
          <w:bCs w:val="0"/>
          <w:snapToGrid w:val="0"/>
          <w:color w:val="000000" w:themeColor="text1"/>
          <w:spacing w:val="0"/>
          <w:w w:val="100"/>
          <w:kern w:val="0"/>
          <w:sz w:val="32"/>
          <w:szCs w:val="32"/>
          <w:highlight w:val="none"/>
          <w:lang w:eastAsia="zh-CN"/>
          <w14:textFill>
            <w14:solidFill>
              <w14:schemeClr w14:val="tx1"/>
            </w14:solidFill>
          </w14:textFill>
        </w:rPr>
        <w:t>农业</w:t>
      </w:r>
      <w:r>
        <w:rPr>
          <w:rFonts w:hint="eastAsia" w:ascii="黑体" w:hAnsi="黑体" w:eastAsia="黑体" w:cs="黑体"/>
          <w:b w:val="0"/>
          <w:bCs w:val="0"/>
          <w:snapToGrid w:val="0"/>
          <w:color w:val="000000" w:themeColor="text1"/>
          <w:spacing w:val="0"/>
          <w:w w:val="100"/>
          <w:kern w:val="0"/>
          <w:sz w:val="32"/>
          <w:szCs w:val="32"/>
          <w:highlight w:val="none"/>
          <w14:textFill>
            <w14:solidFill>
              <w14:schemeClr w14:val="tx1"/>
            </w14:solidFill>
          </w14:textFill>
        </w:rPr>
        <w:t>产业体系建设</w:t>
      </w:r>
    </w:p>
    <w:p>
      <w:pPr>
        <w:pStyle w:val="5"/>
        <w:keepNext w:val="0"/>
        <w:keepLines w:val="0"/>
        <w:pageBreakBefore w:val="0"/>
        <w:widowControl w:val="0"/>
        <w:kinsoku/>
        <w:wordWrap/>
        <w:overflowPunct/>
        <w:topLinePunct w:val="0"/>
        <w:autoSpaceDE/>
        <w:autoSpaceDN/>
        <w:bidi w:val="0"/>
        <w:adjustRightInd w:val="0"/>
        <w:snapToGrid w:val="0"/>
        <w:spacing w:line="594" w:lineRule="exact"/>
        <w:ind w:left="0" w:leftChars="0" w:firstLine="643" w:firstLineChars="200"/>
        <w:jc w:val="both"/>
        <w:textAlignment w:val="auto"/>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pPr>
      <w:r>
        <w:rPr>
          <w:rFonts w:hint="eastAsia" w:ascii="楷体_GB2312" w:hAnsi="楷体_GB2312" w:eastAsia="楷体_GB2312" w:cs="楷体_GB2312"/>
          <w:b/>
          <w:bCs w:val="0"/>
          <w:color w:val="000000" w:themeColor="text1"/>
          <w:spacing w:val="0"/>
          <w:w w:val="100"/>
          <w:kern w:val="0"/>
          <w:sz w:val="32"/>
          <w:szCs w:val="32"/>
          <w:highlight w:val="none"/>
          <w:lang w:val="en-US" w:eastAsia="zh-CN" w:bidi="ar-SA"/>
          <w14:textFill>
            <w14:solidFill>
              <w14:schemeClr w14:val="tx1"/>
            </w14:solidFill>
          </w14:textFill>
        </w:rPr>
        <w:t>（一）经营主体提档升级。</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对新型经营主体提档升级进行奖励，当年</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新</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创建的国家级龙头企业、专业合作社，区财政</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分别给予经营主体</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一次性奖励30万元、10万元；</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当年</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新</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创建</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的</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省级龙头企业、专业合作社、家庭农场，区财政</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分别给予经营主体</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一次性奖励10万元、5万元、2万元。</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当年</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被评定为省级农业产业化联合体的，区财政</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给予经营主体</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一次性奖励30万元。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3" w:firstLineChars="200"/>
        <w:jc w:val="both"/>
        <w:textAlignment w:val="auto"/>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pPr>
      <w:r>
        <w:rPr>
          <w:rFonts w:hint="default" w:ascii="楷体_GB2312" w:hAnsi="楷体_GB2312" w:eastAsia="楷体_GB2312" w:cs="楷体_GB2312"/>
          <w:b/>
          <w:bCs w:val="0"/>
          <w:color w:val="000000" w:themeColor="text1"/>
          <w:spacing w:val="0"/>
          <w:w w:val="100"/>
          <w:kern w:val="0"/>
          <w:sz w:val="32"/>
          <w:szCs w:val="32"/>
          <w:highlight w:val="none"/>
          <w:lang w:val="en-US" w:eastAsia="zh-CN" w:bidi="ar-SA"/>
          <w14:textFill>
            <w14:solidFill>
              <w14:schemeClr w14:val="tx1"/>
            </w14:solidFill>
          </w14:textFill>
        </w:rPr>
        <w:t>（二）农业品牌建设。</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支持经营主体开展本土</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农产品</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品牌化建设，对新通过省豫农优品、全国名特优新、绿色食品、有机农产品、地理标志农产品认证的</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农</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产品，每个</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农</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产品区财政分别</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给予经营主体</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一次性奖励1000元、3000元、1.5万元、2万元、5万元；绿色食品三年期满后续展换证的，每个</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农</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产品</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区财政</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给予经营主体</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一次性</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奖励5000元。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3" w:firstLineChars="200"/>
        <w:jc w:val="both"/>
        <w:textAlignment w:val="auto"/>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pPr>
      <w:r>
        <w:rPr>
          <w:rFonts w:hint="default" w:ascii="楷体_GB2312" w:hAnsi="楷体_GB2312" w:eastAsia="楷体_GB2312" w:cs="楷体_GB2312"/>
          <w:b/>
          <w:bCs w:val="0"/>
          <w:color w:val="000000" w:themeColor="text1"/>
          <w:spacing w:val="0"/>
          <w:w w:val="100"/>
          <w:kern w:val="0"/>
          <w:sz w:val="32"/>
          <w:szCs w:val="32"/>
          <w:highlight w:val="none"/>
          <w:lang w:val="en-US" w:eastAsia="zh-CN" w:bidi="ar-SA"/>
          <w14:textFill>
            <w14:solidFill>
              <w14:schemeClr w14:val="tx1"/>
            </w14:solidFill>
          </w14:textFill>
        </w:rPr>
        <w:t>（三）加强科研合作。</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农业</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企业</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当年</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购买高等院校、科研院所、新型研发机构等单位的科技成果</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经全国技术合同管理与服务平台认定</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的</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技术合同</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按成交实际到账额的</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10</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%给予</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企业</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单个项目不超过</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20</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万元</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每家企业每年不超过</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60</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万元补助；企业围绕</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区</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重点</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农业</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产业或者自身发展需要，投入自有资金开展研发活动，取得国家知识产权局认定的</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一</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类知识产权成果并实现产业化的，按前期研发投入</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的</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20%给予</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企业</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不超过</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100</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万元补助。</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支持农业企业加强科创平台建设，星创天地、研发平台被省级主管部门考核为优秀等次的，给予企业一次性奖励30万元。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3" w:firstLineChars="200"/>
        <w:jc w:val="both"/>
        <w:textAlignment w:val="auto"/>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pPr>
      <w:r>
        <w:rPr>
          <w:rFonts w:hint="default" w:ascii="楷体_GB2312" w:hAnsi="楷体_GB2312" w:eastAsia="楷体_GB2312" w:cs="楷体_GB2312"/>
          <w:b/>
          <w:bCs w:val="0"/>
          <w:color w:val="000000" w:themeColor="text1"/>
          <w:spacing w:val="0"/>
          <w:w w:val="100"/>
          <w:kern w:val="0"/>
          <w:sz w:val="32"/>
          <w:szCs w:val="32"/>
          <w:highlight w:val="none"/>
          <w:lang w:val="en-US" w:eastAsia="zh-CN" w:bidi="ar-SA"/>
          <w14:textFill>
            <w14:solidFill>
              <w14:schemeClr w14:val="tx1"/>
            </w14:solidFill>
          </w14:textFill>
        </w:rPr>
        <w:t>（四）平台载体建设。</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各镇</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（街道）</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围绕</w:t>
      </w:r>
      <w:r>
        <w:rPr>
          <w:rFonts w:hint="eastAsia"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两主导+两培育</w:t>
      </w:r>
      <w:r>
        <w:rPr>
          <w:rFonts w:hint="eastAsia"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产业，当年新</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创建</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国家级</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产业示范园的</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，给予镇（街道）</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一次性奖励</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30</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万元</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当年新创建省级产业示范园的，给予镇（街道）</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一次性奖励20万元</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；当年新创建省级产业强镇的，给予镇（街道）一次性奖励10万元；对当年新创建国家级</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生态农场的农业园区，</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区财政给予经营主体</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一次性奖励</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5</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万元</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3" w:firstLineChars="200"/>
        <w:jc w:val="both"/>
        <w:textAlignment w:val="auto"/>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pPr>
      <w:r>
        <w:rPr>
          <w:rFonts w:hint="default" w:ascii="楷体_GB2312" w:hAnsi="楷体_GB2312" w:eastAsia="楷体_GB2312" w:cs="楷体_GB2312"/>
          <w:b/>
          <w:bCs w:val="0"/>
          <w:color w:val="000000" w:themeColor="text1"/>
          <w:spacing w:val="0"/>
          <w:w w:val="100"/>
          <w:kern w:val="0"/>
          <w:sz w:val="32"/>
          <w:szCs w:val="32"/>
          <w:highlight w:val="none"/>
          <w:lang w:val="en-US" w:eastAsia="zh-CN" w:bidi="ar-SA"/>
          <w14:textFill>
            <w14:solidFill>
              <w14:schemeClr w14:val="tx1"/>
            </w14:solidFill>
          </w14:textFill>
        </w:rPr>
        <w:t>（五）休闲农业发展。</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支持村</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社区）</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集体经济组织、新型农业经营主体充分发掘产业优势、地方风</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情</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、民族特色、传统工艺等资源，发展乡村旅游、民宿、田园养生、亲子体验、拓展训练等项目</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鼓励有条件的休闲农业园建设中小学生农事研学机构</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创建研学基（营）地。对</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当年</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新获评</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的</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国家级、省级、市级研学旅行基地</w:t>
      </w:r>
      <w:r>
        <w:rPr>
          <w:rFonts w:hint="default" w:ascii="Times New Roman" w:hAnsi="Times New Roman" w:eastAsia="仿宋_GB2312" w:cs="Times New Roman"/>
          <w:strike w:val="0"/>
          <w:dstrike w:val="0"/>
          <w:snapToGrid w:val="0"/>
          <w:color w:val="000000" w:themeColor="text1"/>
          <w:spacing w:val="0"/>
          <w:w w:val="100"/>
          <w:kern w:val="0"/>
          <w:sz w:val="32"/>
          <w:szCs w:val="32"/>
          <w:highlight w:val="none"/>
          <w14:textFill>
            <w14:solidFill>
              <w14:schemeClr w14:val="tx1"/>
            </w14:solidFill>
          </w14:textFill>
        </w:rPr>
        <w:t>（由文旅主管部门评定）</w:t>
      </w:r>
      <w:r>
        <w:rPr>
          <w:rFonts w:hint="default" w:ascii="Times New Roman" w:hAnsi="Times New Roman" w:eastAsia="仿宋_GB2312" w:cs="Times New Roman"/>
          <w:strike w:val="0"/>
          <w:snapToGrid w:val="0"/>
          <w:color w:val="000000" w:themeColor="text1"/>
          <w:spacing w:val="0"/>
          <w:w w:val="100"/>
          <w:kern w:val="0"/>
          <w:sz w:val="32"/>
          <w:szCs w:val="32"/>
          <w:highlight w:val="none"/>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分别给予一次性</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奖励</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50万元、30万元、10万元；对</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当年</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新获评</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的</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国家级、省级、市级研学旅行营地</w:t>
      </w:r>
      <w:r>
        <w:rPr>
          <w:rFonts w:hint="default" w:ascii="Times New Roman" w:hAnsi="Times New Roman" w:eastAsia="仿宋_GB2312" w:cs="Times New Roman"/>
          <w:strike w:val="0"/>
          <w:dstrike w:val="0"/>
          <w:snapToGrid w:val="0"/>
          <w:color w:val="000000" w:themeColor="text1"/>
          <w:spacing w:val="0"/>
          <w:w w:val="100"/>
          <w:kern w:val="0"/>
          <w:sz w:val="32"/>
          <w:szCs w:val="32"/>
          <w:highlight w:val="none"/>
          <w14:textFill>
            <w14:solidFill>
              <w14:schemeClr w14:val="tx1"/>
            </w14:solidFill>
          </w14:textFill>
        </w:rPr>
        <w:t>（由文旅主管部门评定）</w:t>
      </w:r>
      <w:r>
        <w:rPr>
          <w:rFonts w:hint="default" w:ascii="Times New Roman" w:hAnsi="Times New Roman" w:eastAsia="仿宋_GB2312" w:cs="Times New Roman"/>
          <w:strike w:val="0"/>
          <w:snapToGrid w:val="0"/>
          <w:color w:val="000000" w:themeColor="text1"/>
          <w:spacing w:val="0"/>
          <w:w w:val="100"/>
          <w:kern w:val="0"/>
          <w:sz w:val="32"/>
          <w:szCs w:val="32"/>
          <w:highlight w:val="none"/>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分别给予一次性</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奖励</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100万元、50万元、20万元。支持休闲农业园区提升改造，根据实际</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需求</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，对符合条件的建设主体获得的</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商业</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贷款进行贴息，每个项目按同期</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贷款市场报价利率（LPR）</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的50%进行贴息，期限一般不超过一年，单个项目贴息上限不超过10万元。</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3" w:firstLineChars="200"/>
        <w:jc w:val="both"/>
        <w:textAlignment w:val="auto"/>
        <w:rPr>
          <w:rFonts w:hint="default" w:ascii="Times New Roman" w:hAnsi="Times New Roman" w:eastAsia="仿宋_GB2312" w:cs="Times New Roman"/>
          <w:snapToGrid w:val="0"/>
          <w:color w:val="000000" w:themeColor="text1"/>
          <w:spacing w:val="0"/>
          <w:w w:val="100"/>
          <w:kern w:val="0"/>
          <w:sz w:val="32"/>
          <w:szCs w:val="32"/>
          <w:highlight w:val="none"/>
          <w:lang w:val="en-US"/>
          <w14:textFill>
            <w14:solidFill>
              <w14:schemeClr w14:val="tx1"/>
            </w14:solidFill>
          </w14:textFill>
        </w:rPr>
      </w:pPr>
      <w:r>
        <w:rPr>
          <w:rFonts w:hint="default" w:ascii="楷体_GB2312" w:hAnsi="楷体_GB2312" w:eastAsia="楷体_GB2312" w:cs="楷体_GB2312"/>
          <w:b/>
          <w:bCs w:val="0"/>
          <w:color w:val="000000" w:themeColor="text1"/>
          <w:spacing w:val="0"/>
          <w:w w:val="100"/>
          <w:kern w:val="0"/>
          <w:sz w:val="32"/>
          <w:szCs w:val="32"/>
          <w:highlight w:val="none"/>
          <w:lang w:val="en-US" w:eastAsia="zh-CN" w:bidi="ar-SA"/>
          <w14:textFill>
            <w14:solidFill>
              <w14:schemeClr w14:val="tx1"/>
            </w14:solidFill>
          </w14:textFill>
        </w:rPr>
        <w:t>（六）现代设施农业。</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加快发展现代设施农业，建设标准规范、装备先进、产出高效的现代种养设施，发展农业工厂、智慧农场等新形态。发展集约化畜禽养殖，提升畜禽养殖标准化规模化水平。改造升级传统养殖池塘，积极发展工厂化循环水等养殖模式。实施智慧农业建设项目，建设智慧农场（牧场、渔场）。每个项目</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给予经营主体</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按同期</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贷款市场报价利率（LPR）</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的50%进行贴息，期限一般不超过一年，单个项目贴息上限不超过10万元</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。对于</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重大引领型农业产业项目不设上限，可通过区</w:t>
      </w:r>
      <w:r>
        <w:rPr>
          <w:rFonts w:hint="eastAsia"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一事一议</w:t>
      </w:r>
      <w:r>
        <w:rPr>
          <w:rFonts w:hint="eastAsia"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方式予以支持。</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3" w:firstLineChars="200"/>
        <w:jc w:val="both"/>
        <w:textAlignment w:val="auto"/>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pPr>
      <w:r>
        <w:rPr>
          <w:rFonts w:hint="default" w:ascii="楷体_GB2312" w:hAnsi="楷体_GB2312" w:eastAsia="楷体_GB2312" w:cs="楷体_GB2312"/>
          <w:b/>
          <w:bCs w:val="0"/>
          <w:color w:val="000000" w:themeColor="text1"/>
          <w:spacing w:val="0"/>
          <w:w w:val="100"/>
          <w:kern w:val="0"/>
          <w:sz w:val="32"/>
          <w:szCs w:val="32"/>
          <w:highlight w:val="none"/>
          <w:lang w:val="en-US" w:eastAsia="zh-CN" w:bidi="ar-SA"/>
          <w14:textFill>
            <w14:solidFill>
              <w14:schemeClr w14:val="tx1"/>
            </w14:solidFill>
          </w14:textFill>
        </w:rPr>
        <w:t>（七）农产品加工业。</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对当年新扩建农产品加工项目进行补助，新建项目投资300万</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元</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及以上，一次性补助单个项目总投资额的10%；新建项目投资500万元及以上，一次性补助单个项目总投资额的12%；新建项目投资1000万元及以上，一次性补助单个项目总投资额的15%。扩建项目投资200万</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元</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及以上，一次性补助单个项目总投资的10%；扩建项目投资300万元及以上，一次性补助单个项目总投资的12%；扩建项目投资500万元及以上，一次性补助单个项目总投资的15%。新建和扩建项目最高补助不超过</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200万元。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3" w:firstLineChars="200"/>
        <w:jc w:val="both"/>
        <w:textAlignment w:val="auto"/>
        <w:rPr>
          <w:rStyle w:val="24"/>
          <w:rFonts w:hint="default" w:ascii="Times New Roman" w:hAnsi="Times New Roman" w:eastAsia="仿宋_GB2312" w:cs="Times New Roman"/>
          <w:color w:val="000000" w:themeColor="text1"/>
          <w:spacing w:val="0"/>
          <w:w w:val="100"/>
          <w:kern w:val="0"/>
          <w:sz w:val="32"/>
          <w:szCs w:val="32"/>
          <w:highlight w:val="none"/>
          <w:lang w:val="en-US" w:eastAsia="zh-CN"/>
          <w14:textFill>
            <w14:solidFill>
              <w14:schemeClr w14:val="tx1"/>
            </w14:solidFill>
          </w14:textFill>
        </w:rPr>
      </w:pPr>
      <w:r>
        <w:rPr>
          <w:rFonts w:hint="default" w:ascii="楷体_GB2312" w:hAnsi="楷体_GB2312" w:eastAsia="楷体_GB2312" w:cs="楷体_GB2312"/>
          <w:b/>
          <w:bCs w:val="0"/>
          <w:color w:val="000000" w:themeColor="text1"/>
          <w:spacing w:val="0"/>
          <w:w w:val="100"/>
          <w:kern w:val="0"/>
          <w:sz w:val="32"/>
          <w:szCs w:val="32"/>
          <w:highlight w:val="none"/>
          <w:lang w:val="en-US" w:eastAsia="zh-CN" w:bidi="ar-SA"/>
          <w14:textFill>
            <w14:solidFill>
              <w14:schemeClr w14:val="tx1"/>
            </w14:solidFill>
          </w14:textFill>
        </w:rPr>
        <w:t>（八）贷款贴息支持。</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支持</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农业产业化龙头企业</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大力发展</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富民产业</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扩大生产规模、经营范围，以商业</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贷款贴息方式支持</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项目建设。</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每个项目按同期</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贷款市场报价利率（LPR）</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的50%进行贴息，期限一般不超过一年，</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单个项目</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贴息上限不超过</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10</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万元。支持新型农业经营主体、种养殖大户发展乡村产业，凡贷款用于生产经营或扩大规模的，可享受还贷周转金服务政策。</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黑体" w:hAnsi="黑体" w:eastAsia="黑体" w:cs="黑体"/>
          <w:b w:val="0"/>
          <w:bCs w:val="0"/>
          <w:snapToGrid w:val="0"/>
          <w:color w:val="000000" w:themeColor="text1"/>
          <w:spacing w:val="0"/>
          <w:w w:val="100"/>
          <w:kern w:val="0"/>
          <w:sz w:val="32"/>
          <w:szCs w:val="32"/>
          <w:highlight w:val="none"/>
          <w:lang w:val="en-US" w:eastAsia="zh-CN"/>
          <w14:textFill>
            <w14:solidFill>
              <w14:schemeClr w14:val="tx1"/>
            </w14:solidFill>
          </w14:textFill>
        </w:rPr>
      </w:pPr>
      <w:r>
        <w:rPr>
          <w:rFonts w:hint="default" w:ascii="黑体" w:hAnsi="黑体" w:eastAsia="黑体" w:cs="黑体"/>
          <w:b w:val="0"/>
          <w:bCs w:val="0"/>
          <w:snapToGrid w:val="0"/>
          <w:color w:val="000000" w:themeColor="text1"/>
          <w:spacing w:val="0"/>
          <w:w w:val="100"/>
          <w:kern w:val="0"/>
          <w:sz w:val="32"/>
          <w:szCs w:val="32"/>
          <w:highlight w:val="none"/>
          <w:lang w:val="en-US" w:eastAsia="zh-CN"/>
          <w14:textFill>
            <w14:solidFill>
              <w14:schemeClr w14:val="tx1"/>
            </w14:solidFill>
          </w14:textFill>
        </w:rPr>
        <w:t>二、补足优质小麦产业短板</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3" w:firstLineChars="200"/>
        <w:jc w:val="both"/>
        <w:textAlignment w:val="auto"/>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pPr>
      <w:r>
        <w:rPr>
          <w:rFonts w:hint="default" w:ascii="楷体_GB2312" w:hAnsi="楷体_GB2312" w:eastAsia="楷体_GB2312" w:cs="楷体_GB2312"/>
          <w:b/>
          <w:bCs w:val="0"/>
          <w:color w:val="000000" w:themeColor="text1"/>
          <w:spacing w:val="0"/>
          <w:w w:val="100"/>
          <w:kern w:val="0"/>
          <w:sz w:val="32"/>
          <w:szCs w:val="32"/>
          <w:highlight w:val="none"/>
          <w:lang w:val="en-US" w:eastAsia="zh-CN" w:bidi="ar-SA"/>
          <w14:textFill>
            <w14:solidFill>
              <w14:schemeClr w14:val="tx1"/>
            </w14:solidFill>
          </w14:textFill>
        </w:rPr>
        <w:t>（一）提升品种选育水平。</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加大科研投入，鼓励企业培育具有高产、优质、抗逆性强等综合性状优良的小麦品种，企业每通过审定一个品种，区财政给予经营主体一次性奖励5万元。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3" w:firstLineChars="200"/>
        <w:jc w:val="both"/>
        <w:textAlignment w:val="auto"/>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pPr>
      <w:r>
        <w:rPr>
          <w:rFonts w:hint="default" w:ascii="楷体_GB2312" w:hAnsi="楷体_GB2312" w:eastAsia="楷体_GB2312" w:cs="楷体_GB2312"/>
          <w:b/>
          <w:bCs w:val="0"/>
          <w:color w:val="000000" w:themeColor="text1"/>
          <w:spacing w:val="0"/>
          <w:w w:val="100"/>
          <w:kern w:val="0"/>
          <w:sz w:val="32"/>
          <w:szCs w:val="32"/>
          <w:highlight w:val="none"/>
          <w:lang w:val="en-US" w:eastAsia="zh-CN" w:bidi="ar-SA"/>
          <w14:textFill>
            <w14:solidFill>
              <w14:schemeClr w14:val="tx1"/>
            </w14:solidFill>
          </w14:textFill>
        </w:rPr>
        <w:t>（二）加强种植管理。</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支持种粮大户规模化种植，加强农田基础设施建设，推广标准化种植技术（合理密植、科学施肥、精准灌溉、病虫害绿色防控等），提高小麦的产量和品质稳定性。对推广先进技术的试验示范基地（100亩以上），给予经营主体100元/亩/年补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3" w:firstLineChars="200"/>
        <w:jc w:val="both"/>
        <w:textAlignment w:val="auto"/>
        <w:rPr>
          <w:rFonts w:hint="default" w:ascii="Times New Roman" w:hAnsi="Times New Roman" w:eastAsia="仿宋_GB2312" w:cs="Times New Roman"/>
          <w:strike w:val="0"/>
          <w:dstrike w:val="0"/>
          <w:snapToGrid w:val="0"/>
          <w:color w:val="000000" w:themeColor="text1"/>
          <w:spacing w:val="0"/>
          <w:w w:val="100"/>
          <w:kern w:val="0"/>
          <w:sz w:val="32"/>
          <w:szCs w:val="32"/>
          <w:highlight w:val="none"/>
          <w:lang w:val="en-US" w:eastAsia="zh-CN"/>
          <w14:textFill>
            <w14:solidFill>
              <w14:schemeClr w14:val="tx1"/>
            </w14:solidFill>
          </w14:textFill>
        </w:rPr>
      </w:pPr>
      <w:r>
        <w:rPr>
          <w:rFonts w:hint="default" w:ascii="楷体_GB2312" w:hAnsi="楷体_GB2312" w:eastAsia="楷体_GB2312" w:cs="楷体_GB2312"/>
          <w:b/>
          <w:bCs w:val="0"/>
          <w:color w:val="000000" w:themeColor="text1"/>
          <w:spacing w:val="0"/>
          <w:w w:val="100"/>
          <w:kern w:val="0"/>
          <w:sz w:val="32"/>
          <w:szCs w:val="32"/>
          <w:highlight w:val="none"/>
          <w:lang w:val="en-US" w:eastAsia="zh-CN" w:bidi="ar-SA"/>
          <w14:textFill>
            <w14:solidFill>
              <w14:schemeClr w14:val="tx1"/>
            </w14:solidFill>
          </w14:textFill>
        </w:rPr>
        <w:t>（三）完善产业链条。</w:t>
      </w:r>
      <w:r>
        <w:rPr>
          <w:rFonts w:hint="default" w:ascii="Times New Roman" w:hAnsi="Times New Roman" w:eastAsia="仿宋_GB2312" w:cs="Times New Roman"/>
          <w:strike w:val="0"/>
          <w:dstrike w:val="0"/>
          <w:snapToGrid w:val="0"/>
          <w:color w:val="000000" w:themeColor="text1"/>
          <w:spacing w:val="0"/>
          <w:w w:val="100"/>
          <w:kern w:val="0"/>
          <w:sz w:val="32"/>
          <w:szCs w:val="32"/>
          <w:highlight w:val="none"/>
          <w:lang w:val="en-US" w:eastAsia="zh-CN"/>
          <w14:textFill>
            <w14:solidFill>
              <w14:schemeClr w14:val="tx1"/>
            </w14:solidFill>
          </w14:textFill>
        </w:rPr>
        <w:t>推动小麦产业的一二三产业融合发展，鼓励生产加工企业与本地种植户建立紧密的利益联结机制。生产加工企业、专业合作社、家庭农场与种植户通过订单种植、合同收购等方式建立紧密利益联结机制的规模化小麦生产基地，收购2000吨以上，每吨给予收购方30元补助；收购5000吨以上，每吨给予收购方50元补助。每年最高补助不超过50万元。</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黑体" w:hAnsi="黑体" w:eastAsia="黑体" w:cs="黑体"/>
          <w:b w:val="0"/>
          <w:bCs w:val="0"/>
          <w:snapToGrid w:val="0"/>
          <w:color w:val="000000" w:themeColor="text1"/>
          <w:spacing w:val="0"/>
          <w:w w:val="100"/>
          <w:kern w:val="0"/>
          <w:sz w:val="32"/>
          <w:szCs w:val="32"/>
          <w:highlight w:val="none"/>
          <w14:textFill>
            <w14:solidFill>
              <w14:schemeClr w14:val="tx1"/>
            </w14:solidFill>
          </w14:textFill>
        </w:rPr>
      </w:pPr>
      <w:r>
        <w:rPr>
          <w:rFonts w:hint="default" w:ascii="黑体" w:hAnsi="黑体" w:eastAsia="黑体" w:cs="黑体"/>
          <w:b w:val="0"/>
          <w:bCs w:val="0"/>
          <w:snapToGrid w:val="0"/>
          <w:color w:val="000000" w:themeColor="text1"/>
          <w:spacing w:val="0"/>
          <w:w w:val="100"/>
          <w:kern w:val="0"/>
          <w:sz w:val="32"/>
          <w:szCs w:val="32"/>
          <w:highlight w:val="none"/>
          <w:lang w:val="en-US" w:eastAsia="zh-CN"/>
          <w14:textFill>
            <w14:solidFill>
              <w14:schemeClr w14:val="tx1"/>
            </w14:solidFill>
          </w14:textFill>
        </w:rPr>
        <w:t>三</w:t>
      </w:r>
      <w:r>
        <w:rPr>
          <w:rFonts w:hint="default" w:ascii="黑体" w:hAnsi="黑体" w:eastAsia="黑体" w:cs="黑体"/>
          <w:b w:val="0"/>
          <w:bCs w:val="0"/>
          <w:snapToGrid w:val="0"/>
          <w:color w:val="000000" w:themeColor="text1"/>
          <w:spacing w:val="0"/>
          <w:w w:val="100"/>
          <w:kern w:val="0"/>
          <w:sz w:val="32"/>
          <w:szCs w:val="32"/>
          <w:highlight w:val="none"/>
          <w14:textFill>
            <w14:solidFill>
              <w14:schemeClr w14:val="tx1"/>
            </w14:solidFill>
          </w14:textFill>
        </w:rPr>
        <w:t>、</w:t>
      </w:r>
      <w:r>
        <w:rPr>
          <w:rFonts w:hint="default" w:ascii="黑体" w:hAnsi="黑体" w:eastAsia="黑体" w:cs="黑体"/>
          <w:b w:val="0"/>
          <w:bCs w:val="0"/>
          <w:snapToGrid w:val="0"/>
          <w:color w:val="000000" w:themeColor="text1"/>
          <w:spacing w:val="0"/>
          <w:w w:val="100"/>
          <w:kern w:val="0"/>
          <w:sz w:val="32"/>
          <w:szCs w:val="32"/>
          <w:highlight w:val="none"/>
          <w:lang w:val="en-US" w:eastAsia="zh-CN"/>
          <w14:textFill>
            <w14:solidFill>
              <w14:schemeClr w14:val="tx1"/>
            </w14:solidFill>
          </w14:textFill>
        </w:rPr>
        <w:t>加快</w:t>
      </w:r>
      <w:r>
        <w:rPr>
          <w:rFonts w:hint="default" w:ascii="黑体" w:hAnsi="黑体" w:eastAsia="黑体" w:cs="黑体"/>
          <w:b w:val="0"/>
          <w:bCs w:val="0"/>
          <w:snapToGrid w:val="0"/>
          <w:color w:val="000000" w:themeColor="text1"/>
          <w:spacing w:val="0"/>
          <w:w w:val="100"/>
          <w:kern w:val="0"/>
          <w:sz w:val="32"/>
          <w:szCs w:val="32"/>
          <w:highlight w:val="none"/>
          <w14:textFill>
            <w14:solidFill>
              <w14:schemeClr w14:val="tx1"/>
            </w14:solidFill>
          </w14:textFill>
        </w:rPr>
        <w:t>果蔬花产业转型升级</w:t>
      </w:r>
    </w:p>
    <w:p>
      <w:pPr>
        <w:pStyle w:val="5"/>
        <w:keepNext w:val="0"/>
        <w:keepLines w:val="0"/>
        <w:pageBreakBefore w:val="0"/>
        <w:widowControl w:val="0"/>
        <w:kinsoku/>
        <w:wordWrap/>
        <w:overflowPunct/>
        <w:topLinePunct w:val="0"/>
        <w:autoSpaceDE/>
        <w:autoSpaceDN/>
        <w:bidi w:val="0"/>
        <w:adjustRightInd w:val="0"/>
        <w:snapToGrid w:val="0"/>
        <w:spacing w:line="594" w:lineRule="exact"/>
        <w:ind w:left="0" w:leftChars="0" w:firstLine="643" w:firstLineChars="200"/>
        <w:jc w:val="both"/>
        <w:textAlignment w:val="auto"/>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pPr>
      <w:r>
        <w:rPr>
          <w:rFonts w:hint="default" w:ascii="楷体_GB2312" w:hAnsi="楷体_GB2312" w:eastAsia="楷体_GB2312" w:cs="楷体_GB2312"/>
          <w:b/>
          <w:bCs w:val="0"/>
          <w:color w:val="000000" w:themeColor="text1"/>
          <w:spacing w:val="0"/>
          <w:w w:val="100"/>
          <w:kern w:val="0"/>
          <w:sz w:val="32"/>
          <w:szCs w:val="32"/>
          <w:highlight w:val="none"/>
          <w:lang w:val="en-US" w:eastAsia="zh-CN" w:bidi="ar-SA"/>
          <w14:textFill>
            <w14:solidFill>
              <w14:schemeClr w14:val="tx1"/>
            </w14:solidFill>
          </w14:textFill>
        </w:rPr>
        <w:t>（一）升级改造设施农业补助。</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在原有设施农业大棚的基础上进行升级改造的，达到连片5亩（棚内净面积）以上，</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区财政</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按照改造资金总额的30%给予</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经营主体</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补助</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同类补助资金不得重复享受。</w:t>
      </w:r>
    </w:p>
    <w:p>
      <w:pPr>
        <w:pStyle w:val="5"/>
        <w:keepNext w:val="0"/>
        <w:keepLines w:val="0"/>
        <w:pageBreakBefore w:val="0"/>
        <w:widowControl w:val="0"/>
        <w:kinsoku/>
        <w:wordWrap/>
        <w:overflowPunct/>
        <w:topLinePunct w:val="0"/>
        <w:autoSpaceDE/>
        <w:autoSpaceDN/>
        <w:bidi w:val="0"/>
        <w:adjustRightInd w:val="0"/>
        <w:snapToGrid w:val="0"/>
        <w:spacing w:line="594" w:lineRule="exact"/>
        <w:ind w:left="0" w:leftChars="0" w:firstLine="643" w:firstLineChars="200"/>
        <w:jc w:val="both"/>
        <w:textAlignment w:val="auto"/>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pPr>
      <w:r>
        <w:rPr>
          <w:rFonts w:hint="default" w:ascii="楷体_GB2312" w:hAnsi="楷体_GB2312" w:eastAsia="楷体_GB2312" w:cs="楷体_GB2312"/>
          <w:b/>
          <w:bCs w:val="0"/>
          <w:color w:val="000000" w:themeColor="text1"/>
          <w:spacing w:val="0"/>
          <w:w w:val="100"/>
          <w:kern w:val="0"/>
          <w:sz w:val="32"/>
          <w:szCs w:val="32"/>
          <w:highlight w:val="none"/>
          <w:lang w:val="en-US" w:eastAsia="zh-CN" w:bidi="ar-SA"/>
          <w14:textFill>
            <w14:solidFill>
              <w14:schemeClr w14:val="tx1"/>
            </w14:solidFill>
          </w14:textFill>
        </w:rPr>
        <w:t>（二）瓜果蔬菜育苗补助。</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加强果蔬优质种苗供给能力，发展壮大果蔬产业，按照</w:t>
      </w:r>
      <w:r>
        <w:rPr>
          <w:rFonts w:hint="eastAsia"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先育后补</w:t>
      </w:r>
      <w:r>
        <w:rPr>
          <w:rFonts w:hint="eastAsia"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的补助办法，对经营主体</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当年培育的新品种</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按照育苗数量</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给予</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一次性补助。</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对新品种</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育苗100万株</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（含）</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以上的，一次性补助5万元；200万株</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（含）</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以上的，一次性补助10万元</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w:t>
      </w:r>
    </w:p>
    <w:p>
      <w:pPr>
        <w:pStyle w:val="5"/>
        <w:keepNext w:val="0"/>
        <w:keepLines w:val="0"/>
        <w:pageBreakBefore w:val="0"/>
        <w:widowControl w:val="0"/>
        <w:kinsoku/>
        <w:wordWrap/>
        <w:overflowPunct/>
        <w:topLinePunct w:val="0"/>
        <w:autoSpaceDE/>
        <w:autoSpaceDN/>
        <w:bidi w:val="0"/>
        <w:adjustRightInd w:val="0"/>
        <w:snapToGrid w:val="0"/>
        <w:spacing w:line="594" w:lineRule="exact"/>
        <w:ind w:left="0" w:leftChars="0" w:firstLine="643" w:firstLineChars="200"/>
        <w:jc w:val="both"/>
        <w:textAlignment w:val="auto"/>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pPr>
      <w:r>
        <w:rPr>
          <w:rFonts w:hint="default" w:ascii="楷体_GB2312" w:hAnsi="楷体_GB2312" w:eastAsia="楷体_GB2312" w:cs="楷体_GB2312"/>
          <w:b/>
          <w:bCs w:val="0"/>
          <w:color w:val="000000" w:themeColor="text1"/>
          <w:spacing w:val="0"/>
          <w:w w:val="100"/>
          <w:kern w:val="0"/>
          <w:sz w:val="32"/>
          <w:szCs w:val="32"/>
          <w:highlight w:val="none"/>
          <w:lang w:val="en-US" w:eastAsia="zh-CN" w:bidi="ar-SA"/>
          <w14:textFill>
            <w14:solidFill>
              <w14:schemeClr w14:val="tx1"/>
            </w14:solidFill>
          </w14:textFill>
        </w:rPr>
        <w:t>（三）特色农业保险。</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对温室大棚及棚内种植的瓜果、蔬菜和特色主导类林果，增设特色农业保险产品，区财政每年给予不低于200万元的配套资金，为参加投保且因风灾、雹灾、雪灾等自然灾害造成产量损失的孟津梨、软籽石榴、大樱桃、葡萄、仙桃等特色林果及温室大棚的经营主体进行理赔。</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黑体" w:hAnsi="黑体" w:eastAsia="黑体" w:cs="黑体"/>
          <w:b w:val="0"/>
          <w:bCs w:val="0"/>
          <w:snapToGrid w:val="0"/>
          <w:color w:val="000000" w:themeColor="text1"/>
          <w:spacing w:val="0"/>
          <w:w w:val="100"/>
          <w:kern w:val="0"/>
          <w:sz w:val="32"/>
          <w:szCs w:val="32"/>
          <w:highlight w:val="none"/>
          <w14:textFill>
            <w14:solidFill>
              <w14:schemeClr w14:val="tx1"/>
            </w14:solidFill>
          </w14:textFill>
        </w:rPr>
      </w:pPr>
      <w:r>
        <w:rPr>
          <w:rFonts w:hint="default" w:ascii="黑体" w:hAnsi="黑体" w:eastAsia="黑体" w:cs="黑体"/>
          <w:b w:val="0"/>
          <w:bCs w:val="0"/>
          <w:snapToGrid w:val="0"/>
          <w:color w:val="000000" w:themeColor="text1"/>
          <w:spacing w:val="0"/>
          <w:w w:val="100"/>
          <w:kern w:val="0"/>
          <w:sz w:val="32"/>
          <w:szCs w:val="32"/>
          <w:highlight w:val="none"/>
          <w:lang w:val="en-US" w:eastAsia="zh-CN"/>
          <w14:textFill>
            <w14:solidFill>
              <w14:schemeClr w14:val="tx1"/>
            </w14:solidFill>
          </w14:textFill>
        </w:rPr>
        <w:t>四</w:t>
      </w:r>
      <w:r>
        <w:rPr>
          <w:rFonts w:hint="default" w:ascii="黑体" w:hAnsi="黑体" w:eastAsia="黑体" w:cs="黑体"/>
          <w:b w:val="0"/>
          <w:bCs w:val="0"/>
          <w:snapToGrid w:val="0"/>
          <w:color w:val="000000" w:themeColor="text1"/>
          <w:spacing w:val="0"/>
          <w:w w:val="100"/>
          <w:kern w:val="0"/>
          <w:sz w:val="32"/>
          <w:szCs w:val="32"/>
          <w:highlight w:val="none"/>
          <w14:textFill>
            <w14:solidFill>
              <w14:schemeClr w14:val="tx1"/>
            </w14:solidFill>
          </w14:textFill>
        </w:rPr>
        <w:t>、</w:t>
      </w:r>
      <w:r>
        <w:rPr>
          <w:rFonts w:hint="default" w:ascii="黑体" w:hAnsi="黑体" w:eastAsia="黑体" w:cs="黑体"/>
          <w:b w:val="0"/>
          <w:bCs w:val="0"/>
          <w:snapToGrid w:val="0"/>
          <w:color w:val="000000" w:themeColor="text1"/>
          <w:spacing w:val="0"/>
          <w:w w:val="100"/>
          <w:kern w:val="0"/>
          <w:sz w:val="32"/>
          <w:szCs w:val="32"/>
          <w:highlight w:val="none"/>
          <w:lang w:val="en-US" w:eastAsia="zh-CN"/>
          <w14:textFill>
            <w14:solidFill>
              <w14:schemeClr w14:val="tx1"/>
            </w14:solidFill>
          </w14:textFill>
        </w:rPr>
        <w:t>促进</w:t>
      </w:r>
      <w:r>
        <w:rPr>
          <w:rFonts w:hint="default" w:ascii="黑体" w:hAnsi="黑体" w:eastAsia="黑体" w:cs="黑体"/>
          <w:b w:val="0"/>
          <w:bCs w:val="0"/>
          <w:snapToGrid w:val="0"/>
          <w:color w:val="000000" w:themeColor="text1"/>
          <w:spacing w:val="0"/>
          <w:w w:val="100"/>
          <w:kern w:val="0"/>
          <w:sz w:val="32"/>
          <w:szCs w:val="32"/>
          <w:highlight w:val="none"/>
          <w14:textFill>
            <w14:solidFill>
              <w14:schemeClr w14:val="tx1"/>
            </w14:solidFill>
          </w14:textFill>
        </w:rPr>
        <w:t>两牛产业稳定发展</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3" w:firstLineChars="200"/>
        <w:jc w:val="both"/>
        <w:textAlignment w:val="auto"/>
        <w:rPr>
          <w:rFonts w:hint="default" w:ascii="Times New Roman" w:hAnsi="Times New Roman" w:eastAsia="仿宋_GB2312" w:cs="Times New Roman"/>
          <w:snapToGrid w:val="0"/>
          <w:color w:val="000000" w:themeColor="text1"/>
          <w:spacing w:val="0"/>
          <w:w w:val="100"/>
          <w:kern w:val="0"/>
          <w:sz w:val="32"/>
          <w:szCs w:val="32"/>
          <w:highlight w:val="none"/>
          <w:lang w:bidi="ar"/>
          <w14:textFill>
            <w14:solidFill>
              <w14:schemeClr w14:val="tx1"/>
            </w14:solidFill>
          </w14:textFill>
        </w:rPr>
      </w:pPr>
      <w:r>
        <w:rPr>
          <w:rFonts w:hint="default" w:ascii="楷体_GB2312" w:hAnsi="楷体_GB2312" w:eastAsia="楷体_GB2312" w:cs="楷体_GB2312"/>
          <w:b/>
          <w:bCs w:val="0"/>
          <w:color w:val="000000" w:themeColor="text1"/>
          <w:spacing w:val="0"/>
          <w:w w:val="100"/>
          <w:kern w:val="0"/>
          <w:sz w:val="32"/>
          <w:szCs w:val="32"/>
          <w:highlight w:val="none"/>
          <w:lang w:val="en-US" w:eastAsia="zh-CN" w:bidi="ar-SA"/>
          <w14:textFill>
            <w14:solidFill>
              <w14:schemeClr w14:val="tx1"/>
            </w14:solidFill>
          </w14:textFill>
        </w:rPr>
        <w:t>（一）资金支持。</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每年统筹使用乡村振兴衔接资金不低于1000万元用于</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支持</w:t>
      </w:r>
      <w:r>
        <w:rPr>
          <w:rFonts w:hint="eastAsia"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两牛</w:t>
      </w:r>
      <w:r>
        <w:rPr>
          <w:rFonts w:hint="eastAsia"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产业发展，</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所得资产收益用于联农带农，其中预期资产收益的3%由经营方承担，差额部分由区财政补助。</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按照</w:t>
      </w:r>
      <w:r>
        <w:rPr>
          <w:rFonts w:hint="eastAsia"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先收贮后补助</w:t>
      </w:r>
      <w:r>
        <w:rPr>
          <w:rFonts w:hint="eastAsia"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的方式，</w:t>
      </w:r>
      <w:r>
        <w:rPr>
          <w:rFonts w:hint="default" w:ascii="Times New Roman" w:hAnsi="Times New Roman" w:eastAsia="仿宋_GB2312" w:cs="Times New Roman"/>
          <w:snapToGrid w:val="0"/>
          <w:color w:val="000000" w:themeColor="text1"/>
          <w:spacing w:val="0"/>
          <w:w w:val="100"/>
          <w:kern w:val="0"/>
          <w:sz w:val="32"/>
          <w:szCs w:val="32"/>
          <w:highlight w:val="none"/>
          <w:lang w:bidi="ar"/>
          <w14:textFill>
            <w14:solidFill>
              <w14:schemeClr w14:val="tx1"/>
            </w14:solidFill>
          </w14:textFill>
        </w:rPr>
        <w:t>对收贮1000吨以上全株青贮玉米等优质饲草的经营主体</w:t>
      </w:r>
      <w:r>
        <w:rPr>
          <w:rFonts w:hint="default" w:ascii="Times New Roman" w:hAnsi="Times New Roman" w:eastAsia="仿宋_GB2312" w:cs="Times New Roman"/>
          <w:snapToGrid w:val="0"/>
          <w:color w:val="000000" w:themeColor="text1"/>
          <w:spacing w:val="0"/>
          <w:w w:val="100"/>
          <w:kern w:val="0"/>
          <w:sz w:val="32"/>
          <w:szCs w:val="32"/>
          <w:highlight w:val="none"/>
          <w:lang w:eastAsia="zh-CN" w:bidi="ar"/>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lang w:bidi="ar"/>
          <w14:textFill>
            <w14:solidFill>
              <w14:schemeClr w14:val="tx1"/>
            </w14:solidFill>
          </w14:textFill>
        </w:rPr>
        <w:t>按照每吨不高于60</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元</w:t>
      </w:r>
      <w:r>
        <w:rPr>
          <w:rFonts w:hint="default" w:ascii="Times New Roman" w:hAnsi="Times New Roman" w:eastAsia="仿宋_GB2312" w:cs="Times New Roman"/>
          <w:snapToGrid w:val="0"/>
          <w:color w:val="000000" w:themeColor="text1"/>
          <w:spacing w:val="0"/>
          <w:w w:val="100"/>
          <w:kern w:val="0"/>
          <w:sz w:val="32"/>
          <w:szCs w:val="32"/>
          <w:highlight w:val="none"/>
          <w:lang w:bidi="ar"/>
          <w14:textFill>
            <w14:solidFill>
              <w14:schemeClr w14:val="tx1"/>
            </w14:solidFill>
          </w14:textFill>
        </w:rPr>
        <w:t>的标准给予补助；对收贮300吨以上玉米秸秆等黄贮饲草的经营主体</w:t>
      </w:r>
      <w:r>
        <w:rPr>
          <w:rFonts w:hint="default" w:ascii="Times New Roman" w:hAnsi="Times New Roman" w:eastAsia="仿宋_GB2312" w:cs="Times New Roman"/>
          <w:snapToGrid w:val="0"/>
          <w:color w:val="000000" w:themeColor="text1"/>
          <w:spacing w:val="0"/>
          <w:w w:val="100"/>
          <w:kern w:val="0"/>
          <w:sz w:val="32"/>
          <w:szCs w:val="32"/>
          <w:highlight w:val="none"/>
          <w:lang w:eastAsia="zh-CN" w:bidi="ar"/>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lang w:bidi="ar"/>
          <w14:textFill>
            <w14:solidFill>
              <w14:schemeClr w14:val="tx1"/>
            </w14:solidFill>
          </w14:textFill>
        </w:rPr>
        <w:t>按照每吨不高于20元的标准给予补助</w:t>
      </w:r>
      <w:r>
        <w:rPr>
          <w:rFonts w:hint="default" w:ascii="Times New Roman" w:hAnsi="Times New Roman" w:eastAsia="仿宋_GB2312" w:cs="Times New Roman"/>
          <w:snapToGrid w:val="0"/>
          <w:color w:val="000000" w:themeColor="text1"/>
          <w:spacing w:val="0"/>
          <w:w w:val="100"/>
          <w:kern w:val="0"/>
          <w:sz w:val="32"/>
          <w:szCs w:val="32"/>
          <w:highlight w:val="none"/>
          <w:lang w:eastAsia="zh-CN" w:bidi="ar"/>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lang w:bidi="ar"/>
          <w14:textFill>
            <w14:solidFill>
              <w14:schemeClr w14:val="tx1"/>
            </w14:solidFill>
          </w14:textFill>
        </w:rPr>
        <w:t>对流转土地种植青贮玉米等饲草作物500亩以上，且流转期限在3年以上的经营主体，区财政给予100元/亩/年的补助，连补三年。</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3" w:firstLineChars="200"/>
        <w:jc w:val="both"/>
        <w:textAlignment w:val="auto"/>
        <w:rPr>
          <w:rFonts w:hint="default" w:ascii="Times New Roman" w:hAnsi="Times New Roman" w:eastAsia="仿宋_GB2312" w:cs="Times New Roman"/>
          <w:snapToGrid w:val="0"/>
          <w:color w:val="000000" w:themeColor="text1"/>
          <w:spacing w:val="0"/>
          <w:w w:val="100"/>
          <w:kern w:val="0"/>
          <w:sz w:val="32"/>
          <w:szCs w:val="32"/>
          <w:highlight w:val="none"/>
          <w:lang w:bidi="ar"/>
          <w14:textFill>
            <w14:solidFill>
              <w14:schemeClr w14:val="tx1"/>
            </w14:solidFill>
          </w14:textFill>
        </w:rPr>
      </w:pPr>
      <w:r>
        <w:rPr>
          <w:rFonts w:hint="default" w:ascii="楷体_GB2312" w:hAnsi="楷体_GB2312" w:eastAsia="楷体_GB2312" w:cs="楷体_GB2312"/>
          <w:b/>
          <w:bCs w:val="0"/>
          <w:color w:val="000000" w:themeColor="text1"/>
          <w:spacing w:val="0"/>
          <w:w w:val="100"/>
          <w:kern w:val="0"/>
          <w:sz w:val="32"/>
          <w:szCs w:val="32"/>
          <w:highlight w:val="none"/>
          <w:lang w:val="en-US" w:eastAsia="zh-CN" w:bidi="ar-SA"/>
          <w14:textFill>
            <w14:solidFill>
              <w14:schemeClr w14:val="tx1"/>
            </w14:solidFill>
          </w14:textFill>
        </w:rPr>
        <w:t>（二）提档升级奖励。</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对</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当年</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新</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创建市级、省级、国家级美丽牧场、休闲观光牧场</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等</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给予经营主体</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一次性</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奖励3万元、5万元、10万元。</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对当年新</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创建省级、国家级</w:t>
      </w:r>
      <w:r>
        <w:rPr>
          <w:rFonts w:hint="eastAsia"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两病</w:t>
      </w:r>
      <w:r>
        <w:rPr>
          <w:rFonts w:hint="eastAsia"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净化场的养殖场，给予经营主体一次性奖励</w:t>
      </w:r>
      <w:r>
        <w:rPr>
          <w:rFonts w:hint="default" w:ascii="Times New Roman" w:hAnsi="Times New Roman" w:eastAsia="仿宋_GB2312" w:cs="Times New Roman"/>
          <w:snapToGrid w:val="0"/>
          <w:color w:val="000000" w:themeColor="text1"/>
          <w:spacing w:val="0"/>
          <w:w w:val="100"/>
          <w:kern w:val="0"/>
          <w:sz w:val="32"/>
          <w:szCs w:val="32"/>
          <w:highlight w:val="none"/>
          <w:lang w:bidi="ar"/>
          <w14:textFill>
            <w14:solidFill>
              <w14:schemeClr w14:val="tx1"/>
            </w14:solidFill>
          </w14:textFill>
        </w:rPr>
        <w:t>5万元、10万元。</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3" w:firstLineChars="200"/>
        <w:jc w:val="both"/>
        <w:textAlignment w:val="auto"/>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pPr>
      <w:r>
        <w:rPr>
          <w:rFonts w:hint="default" w:ascii="楷体_GB2312" w:hAnsi="楷体_GB2312" w:eastAsia="楷体_GB2312" w:cs="楷体_GB2312"/>
          <w:b/>
          <w:bCs w:val="0"/>
          <w:color w:val="000000" w:themeColor="text1"/>
          <w:spacing w:val="0"/>
          <w:w w:val="100"/>
          <w:kern w:val="0"/>
          <w:sz w:val="32"/>
          <w:szCs w:val="32"/>
          <w:highlight w:val="none"/>
          <w:lang w:val="en-US" w:eastAsia="zh-CN" w:bidi="ar-SA"/>
          <w14:textFill>
            <w14:solidFill>
              <w14:schemeClr w14:val="tx1"/>
            </w14:solidFill>
          </w14:textFill>
        </w:rPr>
        <w:t>（三）金融支持。</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发挥</w:t>
      </w:r>
      <w:r>
        <w:rPr>
          <w:rFonts w:hint="eastAsia"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惠农e贷</w:t>
      </w:r>
      <w:r>
        <w:rPr>
          <w:rFonts w:hint="eastAsia"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等信用贷款产品优势，开展圈舍和活体抵押、应收账款质押、保单贷款等信贷业务</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落实上级政策性保险，加快完善地方农业特色保险</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区财政</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每年</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支持</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不低于100万元的配套资金，为肉牛、奶牛投保政策性保险。</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黑体" w:hAnsi="黑体" w:eastAsia="黑体" w:cs="黑体"/>
          <w:b w:val="0"/>
          <w:bCs w:val="0"/>
          <w:snapToGrid w:val="0"/>
          <w:color w:val="000000" w:themeColor="text1"/>
          <w:spacing w:val="0"/>
          <w:w w:val="100"/>
          <w:kern w:val="0"/>
          <w:sz w:val="32"/>
          <w:szCs w:val="32"/>
          <w:highlight w:val="none"/>
          <w14:textFill>
            <w14:solidFill>
              <w14:schemeClr w14:val="tx1"/>
            </w14:solidFill>
          </w14:textFill>
        </w:rPr>
      </w:pPr>
      <w:r>
        <w:rPr>
          <w:rFonts w:hint="default" w:ascii="黑体" w:hAnsi="黑体" w:eastAsia="黑体" w:cs="黑体"/>
          <w:b w:val="0"/>
          <w:bCs w:val="0"/>
          <w:snapToGrid w:val="0"/>
          <w:color w:val="000000" w:themeColor="text1"/>
          <w:spacing w:val="0"/>
          <w:w w:val="100"/>
          <w:kern w:val="0"/>
          <w:sz w:val="32"/>
          <w:szCs w:val="32"/>
          <w:highlight w:val="none"/>
          <w:lang w:val="en-US" w:eastAsia="zh-CN"/>
          <w14:textFill>
            <w14:solidFill>
              <w14:schemeClr w14:val="tx1"/>
            </w14:solidFill>
          </w14:textFill>
        </w:rPr>
        <w:t>五</w:t>
      </w:r>
      <w:r>
        <w:rPr>
          <w:rFonts w:hint="default" w:ascii="黑体" w:hAnsi="黑体" w:eastAsia="黑体" w:cs="黑体"/>
          <w:b w:val="0"/>
          <w:bCs w:val="0"/>
          <w:snapToGrid w:val="0"/>
          <w:color w:val="000000" w:themeColor="text1"/>
          <w:spacing w:val="0"/>
          <w:w w:val="100"/>
          <w:kern w:val="0"/>
          <w:sz w:val="32"/>
          <w:szCs w:val="32"/>
          <w:highlight w:val="none"/>
          <w14:textFill>
            <w14:solidFill>
              <w14:schemeClr w14:val="tx1"/>
            </w14:solidFill>
          </w14:textFill>
        </w:rPr>
        <w:t>、推</w:t>
      </w:r>
      <w:r>
        <w:rPr>
          <w:rFonts w:hint="default" w:ascii="黑体" w:hAnsi="黑体" w:eastAsia="黑体" w:cs="黑体"/>
          <w:b w:val="0"/>
          <w:bCs w:val="0"/>
          <w:snapToGrid w:val="0"/>
          <w:color w:val="000000" w:themeColor="text1"/>
          <w:spacing w:val="0"/>
          <w:w w:val="100"/>
          <w:kern w:val="0"/>
          <w:sz w:val="32"/>
          <w:szCs w:val="32"/>
          <w:highlight w:val="none"/>
          <w:lang w:val="en-US" w:eastAsia="zh-CN"/>
          <w14:textFill>
            <w14:solidFill>
              <w14:schemeClr w14:val="tx1"/>
            </w14:solidFill>
          </w14:textFill>
        </w:rPr>
        <w:t>动</w:t>
      </w:r>
      <w:r>
        <w:rPr>
          <w:rFonts w:hint="default" w:ascii="黑体" w:hAnsi="黑体" w:eastAsia="黑体" w:cs="黑体"/>
          <w:b w:val="0"/>
          <w:bCs w:val="0"/>
          <w:snapToGrid w:val="0"/>
          <w:color w:val="000000" w:themeColor="text1"/>
          <w:spacing w:val="0"/>
          <w:w w:val="100"/>
          <w:kern w:val="0"/>
          <w:sz w:val="32"/>
          <w:szCs w:val="32"/>
          <w:highlight w:val="none"/>
          <w14:textFill>
            <w14:solidFill>
              <w14:schemeClr w14:val="tx1"/>
            </w14:solidFill>
          </w14:textFill>
        </w:rPr>
        <w:t>民宿产业发展壮大</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3" w:firstLineChars="200"/>
        <w:jc w:val="both"/>
        <w:textAlignment w:val="auto"/>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pPr>
      <w:r>
        <w:rPr>
          <w:rFonts w:hint="default" w:ascii="楷体_GB2312" w:hAnsi="楷体_GB2312" w:eastAsia="楷体_GB2312" w:cs="楷体_GB2312"/>
          <w:b/>
          <w:bCs w:val="0"/>
          <w:color w:val="000000" w:themeColor="text1"/>
          <w:spacing w:val="0"/>
          <w:w w:val="100"/>
          <w:kern w:val="0"/>
          <w:sz w:val="32"/>
          <w:szCs w:val="32"/>
          <w:highlight w:val="none"/>
          <w:lang w:val="en-US" w:eastAsia="zh-CN" w:bidi="ar-SA"/>
          <w14:textFill>
            <w14:solidFill>
              <w14:schemeClr w14:val="tx1"/>
            </w14:solidFill>
          </w14:textFill>
        </w:rPr>
        <w:t>（一）民宿集群建设奖励。</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新建单体建筑5</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幢</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（含）以上、房间数量40间（含）以上，投资额1500万元以上旅游民宿集群的，给予</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经营主体</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一次性奖励50万元。</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3" w:firstLineChars="200"/>
        <w:jc w:val="both"/>
        <w:textAlignment w:val="auto"/>
        <w:rPr>
          <w:rFonts w:hint="default" w:ascii="Times New Roman" w:hAnsi="Times New Roman" w:eastAsia="仿宋_GB2312" w:cs="Times New Roman"/>
          <w:snapToGrid w:val="0"/>
          <w:color w:val="000000" w:themeColor="text1"/>
          <w:spacing w:val="0"/>
          <w:w w:val="100"/>
          <w:kern w:val="0"/>
          <w:sz w:val="32"/>
          <w:szCs w:val="32"/>
          <w:highlight w:val="none"/>
          <w:lang w:eastAsia="zh-CN" w:bidi="ar"/>
          <w14:textFill>
            <w14:solidFill>
              <w14:schemeClr w14:val="tx1"/>
            </w14:solidFill>
          </w14:textFill>
        </w:rPr>
      </w:pPr>
      <w:r>
        <w:rPr>
          <w:rFonts w:hint="default" w:ascii="楷体_GB2312" w:hAnsi="楷体_GB2312" w:eastAsia="楷体_GB2312" w:cs="楷体_GB2312"/>
          <w:b/>
          <w:bCs w:val="0"/>
          <w:color w:val="000000" w:themeColor="text1"/>
          <w:spacing w:val="0"/>
          <w:w w:val="100"/>
          <w:kern w:val="0"/>
          <w:sz w:val="32"/>
          <w:szCs w:val="32"/>
          <w:highlight w:val="none"/>
          <w:lang w:val="en-US" w:eastAsia="zh-CN" w:bidi="ar-SA"/>
          <w14:textFill>
            <w14:solidFill>
              <w14:schemeClr w14:val="tx1"/>
            </w14:solidFill>
          </w14:textFill>
        </w:rPr>
        <w:t>（二）等级评定奖励。</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鼓励发展精品民宿，</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bidi="ar"/>
          <w14:textFill>
            <w14:solidFill>
              <w14:schemeClr w14:val="tx1"/>
            </w14:solidFill>
          </w14:textFill>
        </w:rPr>
        <w:t>对</w:t>
      </w:r>
      <w:r>
        <w:rPr>
          <w:rFonts w:hint="default" w:ascii="Times New Roman" w:hAnsi="Times New Roman" w:eastAsia="仿宋_GB2312" w:cs="Times New Roman"/>
          <w:snapToGrid w:val="0"/>
          <w:color w:val="000000" w:themeColor="text1"/>
          <w:spacing w:val="0"/>
          <w:w w:val="100"/>
          <w:kern w:val="0"/>
          <w:sz w:val="32"/>
          <w:szCs w:val="32"/>
          <w:highlight w:val="none"/>
          <w:lang w:bidi="ar"/>
          <w14:textFill>
            <w14:solidFill>
              <w14:schemeClr w14:val="tx1"/>
            </w14:solidFill>
          </w14:textFill>
        </w:rPr>
        <w:t>被评为国家甲、乙、丙级的旅游民宿，分别</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给予</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经营主体</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一次性奖励</w:t>
      </w:r>
      <w:r>
        <w:rPr>
          <w:rFonts w:hint="default" w:ascii="Times New Roman" w:hAnsi="Times New Roman" w:eastAsia="仿宋_GB2312" w:cs="Times New Roman"/>
          <w:snapToGrid w:val="0"/>
          <w:color w:val="000000" w:themeColor="text1"/>
          <w:spacing w:val="0"/>
          <w:w w:val="100"/>
          <w:kern w:val="0"/>
          <w:sz w:val="32"/>
          <w:szCs w:val="32"/>
          <w:highlight w:val="none"/>
          <w:lang w:bidi="ar"/>
          <w14:textFill>
            <w14:solidFill>
              <w14:schemeClr w14:val="tx1"/>
            </w14:solidFill>
          </w14:textFill>
        </w:rPr>
        <w:t>100万元、60万元、30万元</w:t>
      </w:r>
      <w:r>
        <w:rPr>
          <w:rFonts w:hint="default" w:ascii="Times New Roman" w:hAnsi="Times New Roman" w:eastAsia="仿宋_GB2312" w:cs="Times New Roman"/>
          <w:snapToGrid w:val="0"/>
          <w:color w:val="000000" w:themeColor="text1"/>
          <w:spacing w:val="0"/>
          <w:w w:val="100"/>
          <w:kern w:val="0"/>
          <w:sz w:val="32"/>
          <w:szCs w:val="32"/>
          <w:highlight w:val="none"/>
          <w:lang w:eastAsia="zh-CN" w:bidi="ar"/>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bidi="ar"/>
          <w14:textFill>
            <w14:solidFill>
              <w14:schemeClr w14:val="tx1"/>
            </w14:solidFill>
          </w14:textFill>
        </w:rPr>
        <w:t>对</w:t>
      </w:r>
      <w:r>
        <w:rPr>
          <w:rFonts w:hint="default" w:ascii="Times New Roman" w:hAnsi="Times New Roman" w:eastAsia="仿宋_GB2312" w:cs="Times New Roman"/>
          <w:snapToGrid w:val="0"/>
          <w:color w:val="000000" w:themeColor="text1"/>
          <w:spacing w:val="0"/>
          <w:w w:val="100"/>
          <w:kern w:val="0"/>
          <w:sz w:val="32"/>
          <w:szCs w:val="32"/>
          <w:highlight w:val="none"/>
          <w:lang w:bidi="ar"/>
          <w14:textFill>
            <w14:solidFill>
              <w14:schemeClr w14:val="tx1"/>
            </w14:solidFill>
          </w14:textFill>
        </w:rPr>
        <w:t>被评为省级五星、四星</w:t>
      </w:r>
      <w:r>
        <w:rPr>
          <w:rFonts w:hint="default" w:ascii="Times New Roman" w:hAnsi="Times New Roman" w:eastAsia="仿宋_GB2312" w:cs="Times New Roman"/>
          <w:strike w:val="0"/>
          <w:dstrike w:val="0"/>
          <w:snapToGrid w:val="0"/>
          <w:color w:val="000000" w:themeColor="text1"/>
          <w:spacing w:val="0"/>
          <w:w w:val="100"/>
          <w:kern w:val="0"/>
          <w:sz w:val="32"/>
          <w:szCs w:val="32"/>
          <w:highlight w:val="none"/>
          <w:lang w:bidi="ar"/>
          <w14:textFill>
            <w14:solidFill>
              <w14:schemeClr w14:val="tx1"/>
            </w14:solidFill>
          </w14:textFill>
        </w:rPr>
        <w:t>新建</w:t>
      </w:r>
      <w:r>
        <w:rPr>
          <w:rFonts w:hint="default" w:ascii="Times New Roman" w:hAnsi="Times New Roman" w:eastAsia="仿宋_GB2312" w:cs="Times New Roman"/>
          <w:snapToGrid w:val="0"/>
          <w:color w:val="000000" w:themeColor="text1"/>
          <w:spacing w:val="0"/>
          <w:w w:val="100"/>
          <w:kern w:val="0"/>
          <w:sz w:val="32"/>
          <w:szCs w:val="32"/>
          <w:highlight w:val="none"/>
          <w:lang w:bidi="ar"/>
          <w14:textFill>
            <w14:solidFill>
              <w14:schemeClr w14:val="tx1"/>
            </w14:solidFill>
          </w14:textFill>
        </w:rPr>
        <w:t>的旅游民宿，分别给予</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bidi="ar"/>
          <w14:textFill>
            <w14:solidFill>
              <w14:schemeClr w14:val="tx1"/>
            </w14:solidFill>
          </w14:textFill>
        </w:rPr>
        <w:t>经营主体</w:t>
      </w:r>
      <w:r>
        <w:rPr>
          <w:rFonts w:hint="default" w:ascii="Times New Roman" w:hAnsi="Times New Roman" w:eastAsia="仿宋_GB2312" w:cs="Times New Roman"/>
          <w:snapToGrid w:val="0"/>
          <w:color w:val="000000" w:themeColor="text1"/>
          <w:spacing w:val="0"/>
          <w:w w:val="100"/>
          <w:kern w:val="0"/>
          <w:sz w:val="32"/>
          <w:szCs w:val="32"/>
          <w:highlight w:val="none"/>
          <w:lang w:bidi="ar"/>
          <w14:textFill>
            <w14:solidFill>
              <w14:schemeClr w14:val="tx1"/>
            </w14:solidFill>
          </w14:textFill>
        </w:rPr>
        <w:t>一次性奖励50万元、30万元</w:t>
      </w:r>
      <w:r>
        <w:rPr>
          <w:rFonts w:hint="default" w:ascii="Times New Roman" w:hAnsi="Times New Roman" w:eastAsia="仿宋_GB2312" w:cs="Times New Roman"/>
          <w:snapToGrid w:val="0"/>
          <w:color w:val="000000" w:themeColor="text1"/>
          <w:spacing w:val="0"/>
          <w:w w:val="100"/>
          <w:kern w:val="0"/>
          <w:sz w:val="32"/>
          <w:szCs w:val="32"/>
          <w:highlight w:val="none"/>
          <w:lang w:eastAsia="zh-CN" w:bidi="ar"/>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bidi="ar"/>
          <w14:textFill>
            <w14:solidFill>
              <w14:schemeClr w14:val="tx1"/>
            </w14:solidFill>
          </w14:textFill>
        </w:rPr>
        <w:t>升级评定的奖励差额部分</w:t>
      </w:r>
      <w:r>
        <w:rPr>
          <w:rFonts w:hint="default" w:ascii="Times New Roman" w:hAnsi="Times New Roman" w:eastAsia="仿宋_GB2312" w:cs="Times New Roman"/>
          <w:snapToGrid w:val="0"/>
          <w:color w:val="000000" w:themeColor="text1"/>
          <w:spacing w:val="0"/>
          <w:w w:val="100"/>
          <w:kern w:val="0"/>
          <w:sz w:val="32"/>
          <w:szCs w:val="32"/>
          <w:highlight w:val="none"/>
          <w:lang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3" w:firstLineChars="200"/>
        <w:jc w:val="both"/>
        <w:textAlignment w:val="auto"/>
        <w:rPr>
          <w:rFonts w:hint="default" w:ascii="Times New Roman" w:hAnsi="Times New Roman" w:eastAsia="仿宋_GB2312" w:cs="Times New Roman"/>
          <w:snapToGrid w:val="0"/>
          <w:color w:val="000000" w:themeColor="text1"/>
          <w:spacing w:val="0"/>
          <w:w w:val="100"/>
          <w:kern w:val="0"/>
          <w:sz w:val="32"/>
          <w:szCs w:val="32"/>
          <w:highlight w:val="none"/>
          <w:lang w:eastAsia="zh-CN" w:bidi="ar"/>
          <w14:textFill>
            <w14:solidFill>
              <w14:schemeClr w14:val="tx1"/>
            </w14:solidFill>
          </w14:textFill>
        </w:rPr>
      </w:pPr>
      <w:r>
        <w:rPr>
          <w:rFonts w:hint="default" w:ascii="楷体_GB2312" w:hAnsi="楷体_GB2312" w:eastAsia="楷体_GB2312" w:cs="楷体_GB2312"/>
          <w:b/>
          <w:bCs w:val="0"/>
          <w:color w:val="000000" w:themeColor="text1"/>
          <w:spacing w:val="0"/>
          <w:w w:val="100"/>
          <w:kern w:val="0"/>
          <w:sz w:val="32"/>
          <w:szCs w:val="32"/>
          <w:highlight w:val="none"/>
          <w:lang w:val="en-US" w:eastAsia="zh-CN" w:bidi="ar-SA"/>
          <w14:textFill>
            <w14:solidFill>
              <w14:schemeClr w14:val="tx1"/>
            </w14:solidFill>
          </w14:textFill>
        </w:rPr>
        <w:t>（三）品牌创建奖励。</w:t>
      </w:r>
      <w:r>
        <w:rPr>
          <w:rFonts w:hint="default" w:ascii="Times New Roman" w:hAnsi="Times New Roman" w:eastAsia="仿宋_GB2312" w:cs="Times New Roman"/>
          <w:snapToGrid w:val="0"/>
          <w:color w:val="000000" w:themeColor="text1"/>
          <w:spacing w:val="0"/>
          <w:w w:val="100"/>
          <w:kern w:val="0"/>
          <w:sz w:val="32"/>
          <w:szCs w:val="32"/>
          <w:highlight w:val="none"/>
          <w:lang w:bidi="ar"/>
          <w14:textFill>
            <w14:solidFill>
              <w14:schemeClr w14:val="tx1"/>
            </w14:solidFill>
          </w14:textFill>
        </w:rPr>
        <w:t>同一品牌旅游民宿连锁经营3家（含）以上的</w:t>
      </w:r>
      <w:r>
        <w:rPr>
          <w:rFonts w:hint="default" w:ascii="Times New Roman" w:hAnsi="Times New Roman" w:eastAsia="仿宋_GB2312" w:cs="Times New Roman"/>
          <w:snapToGrid w:val="0"/>
          <w:color w:val="000000" w:themeColor="text1"/>
          <w:spacing w:val="0"/>
          <w:w w:val="100"/>
          <w:kern w:val="0"/>
          <w:sz w:val="32"/>
          <w:szCs w:val="32"/>
          <w:highlight w:val="none"/>
          <w:lang w:eastAsia="zh-CN" w:bidi="ar"/>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lang w:bidi="ar"/>
          <w14:textFill>
            <w14:solidFill>
              <w14:schemeClr w14:val="tx1"/>
            </w14:solidFill>
          </w14:textFill>
        </w:rPr>
        <w:t>每新增一家一次性给予</w:t>
      </w:r>
      <w:r>
        <w:rPr>
          <w:rFonts w:hint="default" w:ascii="Times New Roman" w:hAnsi="Times New Roman" w:eastAsia="仿宋_GB2312" w:cs="Times New Roman"/>
          <w:snapToGrid w:val="0"/>
          <w:color w:val="000000" w:themeColor="text1"/>
          <w:spacing w:val="0"/>
          <w:w w:val="100"/>
          <w:kern w:val="0"/>
          <w:sz w:val="32"/>
          <w:szCs w:val="32"/>
          <w:highlight w:val="none"/>
          <w:lang w:eastAsia="zh-CN" w:bidi="ar"/>
          <w14:textFill>
            <w14:solidFill>
              <w14:schemeClr w14:val="tx1"/>
            </w14:solidFill>
          </w14:textFill>
        </w:rPr>
        <w:t>品牌方</w:t>
      </w:r>
      <w:r>
        <w:rPr>
          <w:rFonts w:hint="default" w:ascii="Times New Roman" w:hAnsi="Times New Roman" w:eastAsia="仿宋_GB2312" w:cs="Times New Roman"/>
          <w:snapToGrid w:val="0"/>
          <w:color w:val="000000" w:themeColor="text1"/>
          <w:spacing w:val="0"/>
          <w:w w:val="100"/>
          <w:kern w:val="0"/>
          <w:sz w:val="32"/>
          <w:szCs w:val="32"/>
          <w:highlight w:val="none"/>
          <w:lang w:bidi="ar"/>
          <w14:textFill>
            <w14:solidFill>
              <w14:schemeClr w14:val="tx1"/>
            </w14:solidFill>
          </w14:textFill>
        </w:rPr>
        <w:t>奖励20万元。新加盟国内知名旅游品牌民宿经营的，给予</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bidi="ar"/>
          <w14:textFill>
            <w14:solidFill>
              <w14:schemeClr w14:val="tx1"/>
            </w14:solidFill>
          </w14:textFill>
        </w:rPr>
        <w:t>加盟方一次性</w:t>
      </w:r>
      <w:r>
        <w:rPr>
          <w:rFonts w:hint="default" w:ascii="Times New Roman" w:hAnsi="Times New Roman" w:eastAsia="仿宋_GB2312" w:cs="Times New Roman"/>
          <w:snapToGrid w:val="0"/>
          <w:color w:val="000000" w:themeColor="text1"/>
          <w:spacing w:val="0"/>
          <w:w w:val="100"/>
          <w:kern w:val="0"/>
          <w:sz w:val="32"/>
          <w:szCs w:val="32"/>
          <w:highlight w:val="none"/>
          <w:lang w:bidi="ar"/>
          <w14:textFill>
            <w14:solidFill>
              <w14:schemeClr w14:val="tx1"/>
            </w14:solidFill>
          </w14:textFill>
        </w:rPr>
        <w:t>奖励10万元。</w:t>
      </w:r>
    </w:p>
    <w:p>
      <w:pPr>
        <w:pStyle w:val="19"/>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jc w:val="both"/>
        <w:textAlignment w:val="auto"/>
        <w:rPr>
          <w:rFonts w:hint="default" w:ascii="Times New Roman" w:hAnsi="Times New Roman" w:eastAsia="仿宋_GB2312" w:cs="Times New Roman"/>
          <w:snapToGrid w:val="0"/>
          <w:color w:val="000000" w:themeColor="text1"/>
          <w:spacing w:val="0"/>
          <w:w w:val="100"/>
          <w:kern w:val="0"/>
          <w:sz w:val="32"/>
          <w:szCs w:val="32"/>
          <w:highlight w:val="none"/>
          <w:lang w:val="en-US" w:eastAsia="zh-CN" w:bidi="ar"/>
          <w14:textFill>
            <w14:solidFill>
              <w14:schemeClr w14:val="tx1"/>
            </w14:solidFill>
          </w14:textFill>
        </w:rPr>
      </w:pPr>
      <w:r>
        <w:rPr>
          <w:rFonts w:hint="default" w:ascii="楷体_GB2312" w:hAnsi="楷体_GB2312" w:eastAsia="楷体_GB2312" w:cs="楷体_GB2312"/>
          <w:b/>
          <w:bCs w:val="0"/>
          <w:color w:val="000000" w:themeColor="text1"/>
          <w:spacing w:val="0"/>
          <w:w w:val="100"/>
          <w:kern w:val="0"/>
          <w:sz w:val="32"/>
          <w:szCs w:val="32"/>
          <w:highlight w:val="none"/>
          <w:lang w:val="en-US" w:eastAsia="zh-CN" w:bidi="ar-SA"/>
          <w14:textFill>
            <w14:solidFill>
              <w14:schemeClr w14:val="tx1"/>
            </w14:solidFill>
          </w14:textFill>
        </w:rPr>
        <w:t>（四）引流住宿奖励。</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bidi="ar"/>
          <w14:textFill>
            <w14:solidFill>
              <w14:schemeClr w14:val="tx1"/>
            </w14:solidFill>
          </w14:textFill>
        </w:rPr>
        <w:t>旅行社组织游客来孟津旅游，入住民宿全年累计人数达500人（含）以上的，给予旅行社一次性奖励3万元；累计人数达1000人（含）以上的，给予旅行社一次性奖励5万元。</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黑体" w:hAnsi="黑体" w:eastAsia="黑体" w:cs="黑体"/>
          <w:b w:val="0"/>
          <w:bCs w:val="0"/>
          <w:snapToGrid w:val="0"/>
          <w:color w:val="000000" w:themeColor="text1"/>
          <w:spacing w:val="0"/>
          <w:w w:val="100"/>
          <w:kern w:val="0"/>
          <w:sz w:val="32"/>
          <w:szCs w:val="32"/>
          <w:highlight w:val="none"/>
          <w14:textFill>
            <w14:solidFill>
              <w14:schemeClr w14:val="tx1"/>
            </w14:solidFill>
          </w14:textFill>
        </w:rPr>
      </w:pPr>
      <w:r>
        <w:rPr>
          <w:rFonts w:hint="default" w:ascii="黑体" w:hAnsi="黑体" w:eastAsia="黑体" w:cs="黑体"/>
          <w:b w:val="0"/>
          <w:bCs w:val="0"/>
          <w:snapToGrid w:val="0"/>
          <w:color w:val="000000" w:themeColor="text1"/>
          <w:spacing w:val="0"/>
          <w:w w:val="100"/>
          <w:kern w:val="0"/>
          <w:sz w:val="32"/>
          <w:szCs w:val="32"/>
          <w:highlight w:val="none"/>
          <w:lang w:val="en-US" w:eastAsia="zh-CN"/>
          <w14:textFill>
            <w14:solidFill>
              <w14:schemeClr w14:val="tx1"/>
            </w14:solidFill>
          </w14:textFill>
        </w:rPr>
        <w:t>六</w:t>
      </w:r>
      <w:r>
        <w:rPr>
          <w:rFonts w:hint="default" w:ascii="黑体" w:hAnsi="黑体" w:eastAsia="黑体" w:cs="黑体"/>
          <w:b w:val="0"/>
          <w:bCs w:val="0"/>
          <w:snapToGrid w:val="0"/>
          <w:color w:val="000000" w:themeColor="text1"/>
          <w:spacing w:val="0"/>
          <w:w w:val="100"/>
          <w:kern w:val="0"/>
          <w:sz w:val="32"/>
          <w:szCs w:val="32"/>
          <w:highlight w:val="none"/>
          <w14:textFill>
            <w14:solidFill>
              <w14:schemeClr w14:val="tx1"/>
            </w14:solidFill>
          </w14:textFill>
        </w:rPr>
        <w:t>、</w:t>
      </w:r>
      <w:r>
        <w:rPr>
          <w:rFonts w:hint="default" w:ascii="黑体" w:hAnsi="黑体" w:eastAsia="黑体" w:cs="黑体"/>
          <w:b w:val="0"/>
          <w:bCs w:val="0"/>
          <w:snapToGrid w:val="0"/>
          <w:color w:val="000000" w:themeColor="text1"/>
          <w:spacing w:val="0"/>
          <w:w w:val="100"/>
          <w:kern w:val="0"/>
          <w:sz w:val="32"/>
          <w:szCs w:val="32"/>
          <w:highlight w:val="none"/>
          <w:lang w:val="en-US" w:eastAsia="zh-CN"/>
          <w14:textFill>
            <w14:solidFill>
              <w14:schemeClr w14:val="tx1"/>
            </w14:solidFill>
          </w14:textFill>
        </w:rPr>
        <w:t>促进</w:t>
      </w:r>
      <w:r>
        <w:rPr>
          <w:rFonts w:hint="default" w:ascii="黑体" w:hAnsi="黑体" w:eastAsia="黑体" w:cs="黑体"/>
          <w:b w:val="0"/>
          <w:bCs w:val="0"/>
          <w:snapToGrid w:val="0"/>
          <w:color w:val="000000" w:themeColor="text1"/>
          <w:spacing w:val="0"/>
          <w:w w:val="100"/>
          <w:kern w:val="0"/>
          <w:sz w:val="32"/>
          <w:szCs w:val="32"/>
          <w:highlight w:val="none"/>
          <w14:textFill>
            <w14:solidFill>
              <w14:schemeClr w14:val="tx1"/>
            </w14:solidFill>
          </w14:textFill>
        </w:rPr>
        <w:t>杂粮产业提质增效</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3" w:firstLineChars="200"/>
        <w:jc w:val="both"/>
        <w:textAlignment w:val="auto"/>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pPr>
      <w:r>
        <w:rPr>
          <w:rFonts w:hint="default" w:ascii="楷体_GB2312" w:hAnsi="楷体_GB2312" w:eastAsia="楷体_GB2312" w:cs="楷体_GB2312"/>
          <w:b/>
          <w:bCs w:val="0"/>
          <w:color w:val="000000" w:themeColor="text1"/>
          <w:spacing w:val="0"/>
          <w:w w:val="100"/>
          <w:kern w:val="0"/>
          <w:sz w:val="32"/>
          <w:szCs w:val="32"/>
          <w:highlight w:val="none"/>
          <w:lang w:val="en-US" w:eastAsia="zh-CN" w:bidi="ar-SA"/>
          <w14:textFill>
            <w14:solidFill>
              <w14:schemeClr w14:val="tx1"/>
            </w14:solidFill>
          </w14:textFill>
        </w:rPr>
        <w:t>（一）物化补助。</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种植大户、家庭农场、农民专业合作社、龙头企业、村级集体经济合作社等新型农业经营主体采用农业部门推广的优质杂粮新品种、机械精播、种肥同播、滴灌设施、化肥农药减量增效和全程机械化等杂粮生产配套新技术，且每年连片</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种植</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谷子</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红薯20亩（含）以上的，给予</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经营主体</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种子、化肥</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农药</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或滴灌带</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等物化</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补助</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按市场价格</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不超</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过</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300元/亩。要求以上新型农业经营主体流转土地期限不低于三年。</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3" w:firstLineChars="200"/>
        <w:jc w:val="both"/>
        <w:textAlignment w:val="auto"/>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pPr>
      <w:r>
        <w:rPr>
          <w:rFonts w:hint="default" w:ascii="楷体_GB2312" w:hAnsi="楷体_GB2312" w:eastAsia="楷体_GB2312" w:cs="楷体_GB2312"/>
          <w:b/>
          <w:bCs w:val="0"/>
          <w:color w:val="000000" w:themeColor="text1"/>
          <w:spacing w:val="0"/>
          <w:w w:val="100"/>
          <w:kern w:val="0"/>
          <w:sz w:val="32"/>
          <w:szCs w:val="32"/>
          <w:highlight w:val="none"/>
          <w:lang w:val="en-US" w:eastAsia="zh-CN" w:bidi="ar-SA"/>
          <w14:textFill>
            <w14:solidFill>
              <w14:schemeClr w14:val="tx1"/>
            </w14:solidFill>
          </w14:textFill>
        </w:rPr>
        <w:t>（二）资金补助。</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种植大户、家庭农场、农民专业合作社、龙头企业、村级集体经济合作社等新型农业经营主体</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当年新增</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连片种植谷子</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红薯20亩（含）以上的，每亩补助</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100元</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当年新增连片</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种植50亩（含）以上的，每亩</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补助150元</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当年新增连片</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种植100亩（含）以上的，每亩补助</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200元</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。要求以上新型农业经营主体流转土地期限不低于三年。</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黑体" w:hAnsi="黑体" w:eastAsia="黑体" w:cs="黑体"/>
          <w:b w:val="0"/>
          <w:bCs w:val="0"/>
          <w:snapToGrid w:val="0"/>
          <w:color w:val="000000" w:themeColor="text1"/>
          <w:spacing w:val="0"/>
          <w:w w:val="100"/>
          <w:kern w:val="0"/>
          <w:sz w:val="32"/>
          <w:szCs w:val="32"/>
          <w:highlight w:val="none"/>
          <w14:textFill>
            <w14:solidFill>
              <w14:schemeClr w14:val="tx1"/>
            </w14:solidFill>
          </w14:textFill>
        </w:rPr>
      </w:pPr>
      <w:r>
        <w:rPr>
          <w:rFonts w:hint="default" w:ascii="黑体" w:hAnsi="黑体" w:eastAsia="黑体" w:cs="黑体"/>
          <w:b w:val="0"/>
          <w:bCs w:val="0"/>
          <w:snapToGrid w:val="0"/>
          <w:color w:val="000000" w:themeColor="text1"/>
          <w:spacing w:val="0"/>
          <w:w w:val="100"/>
          <w:kern w:val="0"/>
          <w:sz w:val="32"/>
          <w:szCs w:val="32"/>
          <w:highlight w:val="none"/>
          <w:lang w:val="en-US" w:eastAsia="zh-CN"/>
          <w14:textFill>
            <w14:solidFill>
              <w14:schemeClr w14:val="tx1"/>
            </w14:solidFill>
          </w14:textFill>
        </w:rPr>
        <w:t>七</w:t>
      </w:r>
      <w:r>
        <w:rPr>
          <w:rFonts w:hint="default" w:ascii="黑体" w:hAnsi="黑体" w:eastAsia="黑体" w:cs="黑体"/>
          <w:b w:val="0"/>
          <w:bCs w:val="0"/>
          <w:snapToGrid w:val="0"/>
          <w:color w:val="000000" w:themeColor="text1"/>
          <w:spacing w:val="0"/>
          <w:w w:val="100"/>
          <w:kern w:val="0"/>
          <w:sz w:val="32"/>
          <w:szCs w:val="32"/>
          <w:highlight w:val="none"/>
          <w14:textFill>
            <w14:solidFill>
              <w14:schemeClr w14:val="tx1"/>
            </w14:solidFill>
          </w14:textFill>
        </w:rPr>
        <w:t>、申报验收程序</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按照</w:t>
      </w:r>
      <w:r>
        <w:rPr>
          <w:rFonts w:hint="eastAsia"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随报、随审、随享</w:t>
      </w:r>
      <w:r>
        <w:rPr>
          <w:rFonts w:hint="eastAsia"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的原则，由符合支持条件的主体进行申报，并提供营业执照、土地流转合同、财务资料、交易合同、发票、银行流水等有效凭证，</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由</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村</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（社区）</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主要负责人初审并签署意见，报所在镇（街道）核实</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镇（街道）组织专人复审并签署奖补意见后报区农业农村局。区农业农村局联合</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区</w:t>
      </w:r>
      <w:r>
        <w:rPr>
          <w:rFonts w:hint="default" w:ascii="Times New Roman" w:hAnsi="Times New Roman" w:eastAsia="仿宋_GB2312" w:cs="Times New Roman"/>
          <w:snapToGrid w:val="0"/>
          <w:color w:val="000000" w:themeColor="text1"/>
          <w:spacing w:val="0"/>
          <w:w w:val="100"/>
          <w:kern w:val="0"/>
          <w:sz w:val="32"/>
          <w:szCs w:val="32"/>
          <w:highlight w:val="none"/>
          <w:lang w:val="en-US" w:eastAsia="zh-CN"/>
          <w14:textFill>
            <w14:solidFill>
              <w14:schemeClr w14:val="tx1"/>
            </w14:solidFill>
          </w14:textFill>
        </w:rPr>
        <w:t>财政局、</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林业局、文广旅局等相关部门抽调人员成立复核组，进行实地抽查复核，拿出初步奖补意见，报区委农村工作领导小组研究同意后，批复实施。</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黑体" w:hAnsi="黑体" w:eastAsia="黑体" w:cs="黑体"/>
          <w:b w:val="0"/>
          <w:bCs w:val="0"/>
          <w:snapToGrid w:val="0"/>
          <w:color w:val="000000" w:themeColor="text1"/>
          <w:spacing w:val="0"/>
          <w:w w:val="100"/>
          <w:kern w:val="0"/>
          <w:sz w:val="32"/>
          <w:szCs w:val="32"/>
          <w:highlight w:val="none"/>
          <w14:textFill>
            <w14:solidFill>
              <w14:schemeClr w14:val="tx1"/>
            </w14:solidFill>
          </w14:textFill>
        </w:rPr>
      </w:pPr>
      <w:r>
        <w:rPr>
          <w:rFonts w:hint="default" w:ascii="黑体" w:hAnsi="黑体" w:eastAsia="黑体" w:cs="黑体"/>
          <w:b w:val="0"/>
          <w:bCs w:val="0"/>
          <w:snapToGrid w:val="0"/>
          <w:color w:val="000000" w:themeColor="text1"/>
          <w:spacing w:val="0"/>
          <w:w w:val="100"/>
          <w:kern w:val="0"/>
          <w:sz w:val="32"/>
          <w:szCs w:val="32"/>
          <w:highlight w:val="none"/>
          <w:lang w:val="en-US" w:eastAsia="zh-CN"/>
          <w14:textFill>
            <w14:solidFill>
              <w14:schemeClr w14:val="tx1"/>
            </w14:solidFill>
          </w14:textFill>
        </w:rPr>
        <w:t>八</w:t>
      </w:r>
      <w:r>
        <w:rPr>
          <w:rFonts w:hint="default" w:ascii="黑体" w:hAnsi="黑体" w:eastAsia="黑体" w:cs="黑体"/>
          <w:b w:val="0"/>
          <w:bCs w:val="0"/>
          <w:snapToGrid w:val="0"/>
          <w:color w:val="000000" w:themeColor="text1"/>
          <w:spacing w:val="0"/>
          <w:w w:val="100"/>
          <w:kern w:val="0"/>
          <w:sz w:val="32"/>
          <w:szCs w:val="32"/>
          <w:highlight w:val="none"/>
          <w14:textFill>
            <w14:solidFill>
              <w14:schemeClr w14:val="tx1"/>
            </w14:solidFill>
          </w14:textFill>
        </w:rPr>
        <w:t>、强化监督管理</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仿宋_GB2312" w:cs="Times New Roman"/>
          <w:b/>
          <w:bCs/>
          <w:snapToGrid w:val="0"/>
          <w:color w:val="000000" w:themeColor="text1"/>
          <w:spacing w:val="0"/>
          <w:w w:val="100"/>
          <w:kern w:val="0"/>
          <w:sz w:val="32"/>
          <w:szCs w:val="32"/>
          <w:highlight w:val="none"/>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镇（街道）对所辖新型经营主体奖补资金的</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申报及</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使用监管负主要责任，确保资金用于富民产业</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的</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发展，并负责对带动农户情况和带动效果进行核实。镇（街道）、村</w:t>
      </w:r>
      <w:r>
        <w:rPr>
          <w:rFonts w:hint="default" w:ascii="Times New Roman" w:hAnsi="Times New Roman" w:eastAsia="仿宋_GB2312" w:cs="Times New Roman"/>
          <w:snapToGrid w:val="0"/>
          <w:color w:val="000000" w:themeColor="text1"/>
          <w:spacing w:val="0"/>
          <w:w w:val="100"/>
          <w:kern w:val="0"/>
          <w:sz w:val="32"/>
          <w:szCs w:val="32"/>
          <w:highlight w:val="none"/>
          <w:lang w:eastAsia="zh-CN"/>
          <w14:textFill>
            <w14:solidFill>
              <w14:schemeClr w14:val="tx1"/>
            </w14:solidFill>
          </w14:textFill>
        </w:rPr>
        <w:t>（社区）</w:t>
      </w:r>
      <w:r>
        <w:rPr>
          <w:rFonts w:hint="default" w:ascii="Times New Roman" w:hAnsi="Times New Roman" w:eastAsia="仿宋_GB2312" w:cs="Times New Roman"/>
          <w:snapToGrid w:val="0"/>
          <w:color w:val="000000" w:themeColor="text1"/>
          <w:spacing w:val="0"/>
          <w:w w:val="100"/>
          <w:kern w:val="0"/>
          <w:sz w:val="32"/>
          <w:szCs w:val="32"/>
          <w:highlight w:val="none"/>
          <w14:textFill>
            <w14:solidFill>
              <w14:schemeClr w14:val="tx1"/>
            </w14:solidFill>
          </w14:textFill>
        </w:rPr>
        <w:t>两级须规范保存完整申报资料和相关文件。纪检监察、审计部门及时跟进，严防冒领、套取、挪用奖补资金，对存在违规行为的，在追回资金的同时，严肃依规依纪依法追究相关人员责任。</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黑体" w:hAnsi="黑体" w:eastAsia="黑体" w:cs="黑体"/>
          <w:b w:val="0"/>
          <w:bCs w:val="0"/>
          <w:snapToGrid w:val="0"/>
          <w:color w:val="000000" w:themeColor="text1"/>
          <w:spacing w:val="0"/>
          <w:w w:val="100"/>
          <w:kern w:val="0"/>
          <w:sz w:val="32"/>
          <w:szCs w:val="32"/>
          <w:highlight w:val="none"/>
          <w:lang w:val="en-US" w:eastAsia="zh-CN"/>
          <w14:textFill>
            <w14:solidFill>
              <w14:schemeClr w14:val="tx1"/>
            </w14:solidFill>
          </w14:textFill>
        </w:rPr>
      </w:pPr>
      <w:r>
        <w:rPr>
          <w:rFonts w:hint="default" w:ascii="黑体" w:hAnsi="黑体" w:eastAsia="黑体" w:cs="黑体"/>
          <w:b w:val="0"/>
          <w:bCs w:val="0"/>
          <w:snapToGrid w:val="0"/>
          <w:color w:val="000000" w:themeColor="text1"/>
          <w:spacing w:val="0"/>
          <w:w w:val="100"/>
          <w:kern w:val="0"/>
          <w:sz w:val="32"/>
          <w:szCs w:val="32"/>
          <w:highlight w:val="none"/>
          <w:lang w:val="en-US" w:eastAsia="zh-CN"/>
          <w14:textFill>
            <w14:solidFill>
              <w14:schemeClr w14:val="tx1"/>
            </w14:solidFill>
          </w14:textFill>
        </w:rPr>
        <w:t>九、有关事项</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仿宋_GB2312" w:cs="Times New Roman"/>
          <w:b w:val="0"/>
          <w:bCs w:val="0"/>
          <w:snapToGrid w:val="0"/>
          <w:color w:val="000000" w:themeColor="text1"/>
          <w:spacing w:val="0"/>
          <w:w w:val="100"/>
          <w:kern w:val="0"/>
          <w:sz w:val="32"/>
          <w:szCs w:val="32"/>
          <w:highlight w:val="none"/>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w w:val="100"/>
          <w:kern w:val="0"/>
          <w:sz w:val="32"/>
          <w:szCs w:val="32"/>
          <w:highlight w:val="none"/>
          <w:lang w:eastAsia="zh-CN"/>
          <w14:textFill>
            <w14:solidFill>
              <w14:schemeClr w14:val="tx1"/>
            </w14:solidFill>
          </w14:textFill>
        </w:rPr>
        <w:t>（一）本措施</w:t>
      </w:r>
      <w:r>
        <w:rPr>
          <w:rFonts w:hint="default" w:ascii="Times New Roman" w:hAnsi="Times New Roman" w:eastAsia="仿宋_GB2312" w:cs="Times New Roman"/>
          <w:b w:val="0"/>
          <w:bCs w:val="0"/>
          <w:snapToGrid w:val="0"/>
          <w:color w:val="000000" w:themeColor="text1"/>
          <w:spacing w:val="0"/>
          <w:w w:val="100"/>
          <w:kern w:val="0"/>
          <w:sz w:val="32"/>
          <w:szCs w:val="32"/>
          <w:highlight w:val="none"/>
          <w14:textFill>
            <w14:solidFill>
              <w14:schemeClr w14:val="tx1"/>
            </w14:solidFill>
          </w14:textFill>
        </w:rPr>
        <w:t>仅适用于社会资本投入项目，同一项目不重复享受</w:t>
      </w:r>
      <w:r>
        <w:rPr>
          <w:rFonts w:hint="default" w:ascii="Times New Roman" w:hAnsi="Times New Roman" w:eastAsia="仿宋_GB2312" w:cs="Times New Roman"/>
          <w:b w:val="0"/>
          <w:bCs w:val="0"/>
          <w:snapToGrid w:val="0"/>
          <w:color w:val="000000" w:themeColor="text1"/>
          <w:spacing w:val="0"/>
          <w:w w:val="100"/>
          <w:kern w:val="0"/>
          <w:sz w:val="32"/>
          <w:szCs w:val="32"/>
          <w:highlight w:val="none"/>
          <w:lang w:val="en-US" w:eastAsia="zh-CN"/>
          <w14:textFill>
            <w14:solidFill>
              <w14:schemeClr w14:val="tx1"/>
            </w14:solidFill>
          </w14:textFill>
        </w:rPr>
        <w:t>补助</w:t>
      </w:r>
      <w:r>
        <w:rPr>
          <w:rFonts w:hint="default" w:ascii="Times New Roman" w:hAnsi="Times New Roman" w:eastAsia="仿宋_GB2312" w:cs="Times New Roman"/>
          <w:b w:val="0"/>
          <w:bCs w:val="0"/>
          <w:snapToGrid w:val="0"/>
          <w:color w:val="000000" w:themeColor="text1"/>
          <w:spacing w:val="0"/>
          <w:w w:val="100"/>
          <w:kern w:val="0"/>
          <w:sz w:val="32"/>
          <w:szCs w:val="32"/>
          <w:highlight w:val="none"/>
          <w14:textFill>
            <w14:solidFill>
              <w14:schemeClr w14:val="tx1"/>
            </w14:solidFill>
          </w14:textFill>
        </w:rPr>
        <w:t>政策。</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仿宋_GB2312" w:cs="Times New Roman"/>
          <w:b w:val="0"/>
          <w:bCs w:val="0"/>
          <w:snapToGrid w:val="0"/>
          <w:color w:val="000000" w:themeColor="text1"/>
          <w:spacing w:val="0"/>
          <w:w w:val="100"/>
          <w:kern w:val="0"/>
          <w:sz w:val="32"/>
          <w:szCs w:val="32"/>
          <w:highlight w:val="none"/>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w w:val="100"/>
          <w:kern w:val="0"/>
          <w:sz w:val="32"/>
          <w:szCs w:val="32"/>
          <w:highlight w:val="none"/>
          <w:lang w:eastAsia="zh-CN"/>
          <w14:textFill>
            <w14:solidFill>
              <w14:schemeClr w14:val="tx1"/>
            </w14:solidFill>
          </w14:textFill>
        </w:rPr>
        <w:t>（二）</w:t>
      </w:r>
      <w:r>
        <w:rPr>
          <w:rFonts w:hint="default" w:ascii="Times New Roman" w:hAnsi="Times New Roman" w:eastAsia="仿宋_GB2312" w:cs="Times New Roman"/>
          <w:b w:val="0"/>
          <w:bCs w:val="0"/>
          <w:snapToGrid w:val="0"/>
          <w:color w:val="000000" w:themeColor="text1"/>
          <w:spacing w:val="0"/>
          <w:w w:val="100"/>
          <w:kern w:val="0"/>
          <w:sz w:val="32"/>
          <w:szCs w:val="32"/>
          <w:highlight w:val="none"/>
          <w14:textFill>
            <w14:solidFill>
              <w14:schemeClr w14:val="tx1"/>
            </w14:solidFill>
          </w14:textFill>
        </w:rPr>
        <w:t>已享受上级财政资金奖补的</w:t>
      </w:r>
      <w:r>
        <w:rPr>
          <w:rFonts w:hint="default" w:ascii="Times New Roman" w:hAnsi="Times New Roman" w:eastAsia="仿宋_GB2312" w:cs="Times New Roman"/>
          <w:b w:val="0"/>
          <w:bCs w:val="0"/>
          <w:snapToGrid w:val="0"/>
          <w:color w:val="000000" w:themeColor="text1"/>
          <w:spacing w:val="0"/>
          <w:w w:val="100"/>
          <w:kern w:val="0"/>
          <w:sz w:val="32"/>
          <w:szCs w:val="32"/>
          <w:highlight w:val="none"/>
          <w:lang w:eastAsia="zh-CN"/>
          <w14:textFill>
            <w14:solidFill>
              <w14:schemeClr w14:val="tx1"/>
            </w14:solidFill>
          </w14:textFill>
        </w:rPr>
        <w:t>项目</w:t>
      </w:r>
      <w:r>
        <w:rPr>
          <w:rFonts w:hint="default" w:ascii="Times New Roman" w:hAnsi="Times New Roman" w:eastAsia="仿宋_GB2312" w:cs="Times New Roman"/>
          <w:b w:val="0"/>
          <w:bCs w:val="0"/>
          <w:snapToGrid w:val="0"/>
          <w:color w:val="000000" w:themeColor="text1"/>
          <w:spacing w:val="0"/>
          <w:w w:val="100"/>
          <w:kern w:val="0"/>
          <w:sz w:val="32"/>
          <w:szCs w:val="32"/>
          <w:highlight w:val="none"/>
          <w14:textFill>
            <w14:solidFill>
              <w14:schemeClr w14:val="tx1"/>
            </w14:solidFill>
          </w14:textFill>
        </w:rPr>
        <w:t>，不再享受区级奖补。</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仿宋_GB2312" w:cs="Times New Roman"/>
          <w:b w:val="0"/>
          <w:bCs w:val="0"/>
          <w:snapToGrid w:val="0"/>
          <w:color w:val="000000" w:themeColor="text1"/>
          <w:spacing w:val="0"/>
          <w:w w:val="100"/>
          <w:ker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w w:val="100"/>
          <w:kern w:val="0"/>
          <w:sz w:val="32"/>
          <w:szCs w:val="32"/>
          <w:highlight w:val="none"/>
          <w:lang w:eastAsia="zh-CN"/>
          <w14:textFill>
            <w14:solidFill>
              <w14:schemeClr w14:val="tx1"/>
            </w14:solidFill>
          </w14:textFill>
        </w:rPr>
        <w:t>（三）本措施</w:t>
      </w:r>
      <w:r>
        <w:rPr>
          <w:rFonts w:hint="default" w:ascii="Times New Roman" w:hAnsi="Times New Roman" w:eastAsia="仿宋_GB2312" w:cs="Times New Roman"/>
          <w:b w:val="0"/>
          <w:bCs w:val="0"/>
          <w:snapToGrid w:val="0"/>
          <w:color w:val="000000" w:themeColor="text1"/>
          <w:spacing w:val="0"/>
          <w:w w:val="100"/>
          <w:kern w:val="0"/>
          <w:sz w:val="32"/>
          <w:szCs w:val="32"/>
          <w:highlight w:val="none"/>
          <w14:textFill>
            <w14:solidFill>
              <w14:schemeClr w14:val="tx1"/>
            </w14:solidFill>
          </w14:textFill>
        </w:rPr>
        <w:t>自</w:t>
      </w:r>
      <w:r>
        <w:rPr>
          <w:rFonts w:hint="default" w:ascii="Times New Roman" w:hAnsi="Times New Roman" w:eastAsia="仿宋_GB2312" w:cs="Times New Roman"/>
          <w:b w:val="0"/>
          <w:bCs w:val="0"/>
          <w:snapToGrid w:val="0"/>
          <w:color w:val="000000" w:themeColor="text1"/>
          <w:spacing w:val="0"/>
          <w:w w:val="100"/>
          <w:kern w:val="0"/>
          <w:sz w:val="32"/>
          <w:szCs w:val="32"/>
          <w:highlight w:val="none"/>
          <w:lang w:eastAsia="zh-CN"/>
          <w14:textFill>
            <w14:solidFill>
              <w14:schemeClr w14:val="tx1"/>
            </w14:solidFill>
          </w14:textFill>
        </w:rPr>
        <w:t>印发</w:t>
      </w:r>
      <w:r>
        <w:rPr>
          <w:rFonts w:hint="default" w:ascii="Times New Roman" w:hAnsi="Times New Roman" w:eastAsia="仿宋_GB2312" w:cs="Times New Roman"/>
          <w:b w:val="0"/>
          <w:bCs w:val="0"/>
          <w:snapToGrid w:val="0"/>
          <w:color w:val="000000" w:themeColor="text1"/>
          <w:spacing w:val="0"/>
          <w:w w:val="100"/>
          <w:kern w:val="0"/>
          <w:sz w:val="32"/>
          <w:szCs w:val="32"/>
          <w:highlight w:val="none"/>
          <w14:textFill>
            <w14:solidFill>
              <w14:schemeClr w14:val="tx1"/>
            </w14:solidFill>
          </w14:textFill>
        </w:rPr>
        <w:t>之日起施行，有效期至2027年12月31日</w:t>
      </w:r>
      <w:r>
        <w:rPr>
          <w:rFonts w:hint="default" w:ascii="Times New Roman" w:hAnsi="Times New Roman" w:eastAsia="仿宋_GB2312" w:cs="Times New Roman"/>
          <w:b w:val="0"/>
          <w:bCs w:val="0"/>
          <w:snapToGrid w:val="0"/>
          <w:color w:val="000000" w:themeColor="text1"/>
          <w:spacing w:val="0"/>
          <w:w w:val="100"/>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仿宋_GB2312" w:cs="Times New Roman"/>
          <w:b w:val="0"/>
          <w:bCs w:val="0"/>
          <w:snapToGrid w:val="0"/>
          <w:color w:val="000000" w:themeColor="text1"/>
          <w:spacing w:val="0"/>
          <w:w w:val="100"/>
          <w:ker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w w:val="100"/>
          <w:kern w:val="0"/>
          <w:sz w:val="32"/>
          <w:szCs w:val="32"/>
          <w:highlight w:val="none"/>
          <w:lang w:eastAsia="zh-CN"/>
          <w14:textFill>
            <w14:solidFill>
              <w14:schemeClr w14:val="tx1"/>
            </w14:solidFill>
          </w14:textFill>
        </w:rPr>
        <w:t>（四）本措施由区农业农村局负责解释，之前有关促进乡村产业发展规定与本措施不一致的，以本措施为准。</w:t>
      </w:r>
    </w:p>
    <w:p>
      <w:pPr>
        <w:keepNext w:val="0"/>
        <w:keepLines w:val="0"/>
        <w:pageBreakBefore w:val="0"/>
        <w:widowControl w:val="0"/>
        <w:kinsoku/>
        <w:wordWrap/>
        <w:overflowPunct/>
        <w:topLinePunct w:val="0"/>
        <w:autoSpaceDE/>
        <w:autoSpaceDN/>
        <w:bidi w:val="0"/>
        <w:spacing w:line="594" w:lineRule="exact"/>
        <w:textAlignment w:val="auto"/>
        <w:rPr>
          <w:rFonts w:hint="default"/>
          <w:color w:val="000000" w:themeColor="text1"/>
          <w:kern w:val="0"/>
          <w:lang w:val="en-US" w:eastAsia="zh-CN"/>
          <w14:textFill>
            <w14:solidFill>
              <w14:schemeClr w14:val="tx1"/>
            </w14:solidFill>
          </w14:textFill>
        </w:rPr>
        <w:sectPr>
          <w:footerReference r:id="rId3" w:type="default"/>
          <w:pgSz w:w="11906" w:h="16838"/>
          <w:pgMar w:top="1871" w:right="1542" w:bottom="1899" w:left="1497" w:header="851" w:footer="1587" w:gutter="0"/>
          <w:pgNumType w:fmt="decimal"/>
          <w:cols w:space="0" w:num="1"/>
          <w:rtlGutter w:val="0"/>
          <w:docGrid w:type="lines" w:linePitch="312" w:charSpace="0"/>
        </w:sectPr>
      </w:pPr>
    </w:p>
    <w:p>
      <w:pPr>
        <w:keepNext w:val="0"/>
        <w:keepLines w:val="0"/>
        <w:pageBreakBefore w:val="0"/>
        <w:widowControl w:val="0"/>
        <w:kinsoku/>
        <w:overflowPunct/>
        <w:topLinePunct w:val="0"/>
        <w:autoSpaceDE/>
        <w:autoSpaceDN/>
        <w:bidi w:val="0"/>
        <w:textAlignment w:val="auto"/>
        <w:rPr>
          <w:rFonts w:hint="default"/>
          <w:color w:val="000000" w:themeColor="text1"/>
          <w:kern w:val="0"/>
          <w:lang w:val="en-US" w:eastAsia="zh-CN"/>
          <w14:textFill>
            <w14:solidFill>
              <w14:schemeClr w14:val="tx1"/>
            </w14:solidFill>
          </w14:textFill>
        </w:rPr>
      </w:pPr>
      <w:r>
        <w:rPr>
          <w:rFonts w:hint="default"/>
          <w:color w:val="000000" w:themeColor="text1"/>
          <w:kern w:val="0"/>
          <w:lang w:val="en-US" w:eastAsia="zh-CN"/>
          <w14:textFill>
            <w14:solidFill>
              <w14:schemeClr w14:val="tx1"/>
            </w14:solidFill>
          </w14:textFill>
        </w:rPr>
        <w:br w:type="page"/>
      </w:r>
    </w:p>
    <w:p>
      <w:pPr>
        <w:keepNext w:val="0"/>
        <w:keepLines w:val="0"/>
        <w:pageBreakBefore w:val="0"/>
        <w:widowControl w:val="0"/>
        <w:kinsoku/>
        <w:overflowPunct/>
        <w:topLinePunct w:val="0"/>
        <w:autoSpaceDE/>
        <w:autoSpaceDN/>
        <w:bidi w:val="0"/>
        <w:textAlignment w:val="auto"/>
        <w:rPr>
          <w:rFonts w:hint="default"/>
          <w:color w:val="000000" w:themeColor="text1"/>
          <w:kern w:val="0"/>
          <w:lang w:val="en-US" w:eastAsia="zh-CN"/>
          <w14:textFill>
            <w14:solidFill>
              <w14:schemeClr w14:val="tx1"/>
            </w14:solidFill>
          </w14:textFill>
        </w:rPr>
      </w:pPr>
      <w:r>
        <w:rPr>
          <w:rFonts w:hint="default"/>
          <w:color w:val="000000" w:themeColor="text1"/>
          <w:kern w:val="0"/>
          <w:lang w:val="en-US" w:eastAsia="zh-CN"/>
          <w14:textFill>
            <w14:solidFill>
              <w14:schemeClr w14:val="tx1"/>
            </w14:solidFill>
          </w14:textFill>
        </w:rPr>
        <w:br w:type="page"/>
      </w:r>
    </w:p>
    <w:p>
      <w:pPr>
        <w:pStyle w:val="2"/>
        <w:keepNext w:val="0"/>
        <w:keepLines w:val="0"/>
        <w:pageBreakBefore w:val="0"/>
        <w:widowControl w:val="0"/>
        <w:kinsoku/>
        <w:overflowPunct/>
        <w:topLinePunct w:val="0"/>
        <w:autoSpaceDE/>
        <w:autoSpaceDN/>
        <w:bidi w:val="0"/>
        <w:textAlignment w:val="auto"/>
        <w:rPr>
          <w:rFonts w:hint="default"/>
          <w:color w:val="000000" w:themeColor="text1"/>
          <w:kern w:val="0"/>
          <w:lang w:val="en-US" w:eastAsia="zh-CN"/>
          <w14:textFill>
            <w14:solidFill>
              <w14:schemeClr w14:val="tx1"/>
            </w14:solidFill>
          </w14:textFill>
        </w:rPr>
      </w:pPr>
      <w:r>
        <w:rPr>
          <w:color w:val="000000" w:themeColor="text1"/>
          <w:kern w:val="0"/>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183515</wp:posOffset>
                </wp:positionH>
                <wp:positionV relativeFrom="paragraph">
                  <wp:posOffset>7440295</wp:posOffset>
                </wp:positionV>
                <wp:extent cx="5246370" cy="396240"/>
                <wp:effectExtent l="0" t="0" r="11430" b="3810"/>
                <wp:wrapNone/>
                <wp:docPr id="4" name="文本框 4"/>
                <wp:cNvGraphicFramePr/>
                <a:graphic xmlns:a="http://schemas.openxmlformats.org/drawingml/2006/main">
                  <a:graphicData uri="http://schemas.microsoft.com/office/word/2010/wordprocessingShape">
                    <wps:wsp>
                      <wps:cNvSpPr txBox="1"/>
                      <wps:spPr>
                        <a:xfrm>
                          <a:off x="1118870" y="8108950"/>
                          <a:ext cx="5246370" cy="396240"/>
                        </a:xfrm>
                        <a:prstGeom prst="rect">
                          <a:avLst/>
                        </a:prstGeom>
                        <a:solidFill>
                          <a:srgbClr val="FFFFFF"/>
                        </a:solidFill>
                        <a:ln>
                          <a:noFill/>
                        </a:ln>
                      </wps:spPr>
                      <wps:txbx>
                        <w:txbxContent>
                          <w:p>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抄送：区纪委监委。</w:t>
                            </w:r>
                          </w:p>
                        </w:txbxContent>
                      </wps:txbx>
                      <wps:bodyPr lIns="0" tIns="0" rIns="0" bIns="0" upright="1"/>
                    </wps:wsp>
                  </a:graphicData>
                </a:graphic>
              </wp:anchor>
            </w:drawing>
          </mc:Choice>
          <mc:Fallback>
            <w:pict>
              <v:shape id="_x0000_s1026" o:spid="_x0000_s1026" o:spt="202" type="#_x0000_t202" style="position:absolute;left:0pt;margin-left:14.45pt;margin-top:585.85pt;height:31.2pt;width:413.1pt;z-index:251660288;mso-width-relative:page;mso-height-relative:page;" fillcolor="#FFFFFF" filled="t" stroked="f" coordsize="21600,21600" o:gfxdata="UEsDBAoAAAAAAIdO4kAAAAAAAAAAAAAAAAAEAAAAZHJzL1BLAwQUAAAACACHTuJA9zvbrtoAAAAM&#10;AQAADwAAAGRycy9kb3ducmV2LnhtbE2PwU7DMAyG70i8Q2QkLoilKWwrpekkNrjBYWPa2WtCW9E4&#10;VZOu29tjTnD070+/Pxers+vEyQ6h9aRBzRIQlipvWqo17D/f7jMQISIZ7DxZDRcbYFVeXxWYGz/R&#10;1p52sRZcQiFHDU2MfS5lqBrrMMx8b4l3X35wGHkcamkGnLjcdTJNkoV02BJfaLC368ZW37vRaVhs&#10;hnHa0vpus399x4++Tg8vl4PWtzcqeQYR7Tn+wfCrz+pQstPRj2SC6DSk2ROTnKulWoJgIpvPFYgj&#10;R+nDowJZFvL/E+UPUEsDBBQAAAAIAIdO4kDeYYBqwQEAAFkDAAAOAAAAZHJzL2Uyb0RvYy54bWyt&#10;U82O0zAQviPxDpbvNEm3W7JR05VgVYSEAGnhARzHSSz5T2Nvk74AvAEnLtx5rj7Hjt1ml11uiByc&#10;8cyXz/N942yuJ63IXoCX1tS0WOSUCMNtK01f069fdq9KSnxgpmXKGlHTg/D0evvyxWZ0lVjawapW&#10;AEES46vR1XQIwVVZ5vkgNPML64TBYmdBs4Bb6LMW2IjsWmXLPF9no4XWgeXCe8zenIp0m/i7TvDw&#10;qeu8CETVFHsLaYW0NnHNthtW9cDcIPm5DfYPXWgmDR76QHXDAiN3IP+i0pKD9bYLC251ZrtOcpE0&#10;oJoif6bmdmBOJC1ojncPNvn/R8s/7j8DkW1NV5QYpnFExx/fjz9/H399I6toz+h8hahbh7gwvbET&#10;jnnOe0xG1VMHOr5RD4n1oijL12j3oaZlkZdXl2ejxRQIR8DlcrW+iACOiIur9XKVANkjkwMf3gmr&#10;SQxqCjjI5C/bf/ABu0LoDIkHe6tku5NKpQ30zVsFZM9w6Lv0xIbxkycwZSLY2PjZqRwzWdR70hWj&#10;MDXT2YTGtgf0QL036H+8S3MAc9DMwZ0D2Q/Yd3IqUeL8UgvnuxYvyJ/7dPDjH7G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c7267aAAAADAEAAA8AAAAAAAAAAQAgAAAAIgAAAGRycy9kb3ducmV2&#10;LnhtbFBLAQIUABQAAAAIAIdO4kDeYYBqwQEAAFkDAAAOAAAAAAAAAAEAIAAAACkBAABkcnMvZTJv&#10;RG9jLnhtbFBLBQYAAAAABgAGAFkBAABcBQAAAAA=&#10;">
                <v:fill on="t" focussize="0,0"/>
                <v:stroke on="f"/>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抄送：区纪委监委。</w:t>
                      </w:r>
                    </w:p>
                  </w:txbxContent>
                </v:textbox>
              </v:shape>
            </w:pict>
          </mc:Fallback>
        </mc:AlternateContent>
      </w:r>
      <w:r>
        <w:rPr>
          <w:color w:val="000000" w:themeColor="text1"/>
          <w:sz w:val="32"/>
          <w14:textFill>
            <w14:solidFill>
              <w14:schemeClr w14:val="tx1"/>
            </w14:solidFill>
          </w14:textFill>
        </w:rPr>
        <mc:AlternateContent>
          <mc:Choice Requires="wpg">
            <w:drawing>
              <wp:anchor distT="0" distB="0" distL="114300" distR="114300" simplePos="0" relativeHeight="251662336" behindDoc="0" locked="0" layoutInCell="1" allowOverlap="1">
                <wp:simplePos x="0" y="0"/>
                <wp:positionH relativeFrom="column">
                  <wp:posOffset>-5715</wp:posOffset>
                </wp:positionH>
                <wp:positionV relativeFrom="paragraph">
                  <wp:posOffset>7420610</wp:posOffset>
                </wp:positionV>
                <wp:extent cx="5619115" cy="822960"/>
                <wp:effectExtent l="0" t="6350" r="635" b="0"/>
                <wp:wrapNone/>
                <wp:docPr id="3" name="组合 3"/>
                <wp:cNvGraphicFramePr/>
                <a:graphic xmlns:a="http://schemas.openxmlformats.org/drawingml/2006/main">
                  <a:graphicData uri="http://schemas.microsoft.com/office/word/2010/wordprocessingGroup">
                    <wpg:wgp>
                      <wpg:cNvGrpSpPr/>
                      <wpg:grpSpPr>
                        <a:xfrm>
                          <a:off x="0" y="0"/>
                          <a:ext cx="5619115" cy="822960"/>
                          <a:chOff x="7037" y="202187"/>
                          <a:chExt cx="8849" cy="1296"/>
                        </a:xfrm>
                      </wpg:grpSpPr>
                      <wps:wsp>
                        <wps:cNvPr id="5" name="直接连接符 5"/>
                        <wps:cNvCnPr/>
                        <wps:spPr>
                          <a:xfrm>
                            <a:off x="7041" y="202187"/>
                            <a:ext cx="8844" cy="2"/>
                          </a:xfrm>
                          <a:prstGeom prst="line">
                            <a:avLst/>
                          </a:prstGeom>
                          <a:ln w="12700" cap="flat" cmpd="sng">
                            <a:solidFill>
                              <a:srgbClr val="000000"/>
                            </a:solidFill>
                            <a:prstDash val="solid"/>
                            <a:headEnd type="none" w="med" len="med"/>
                            <a:tailEnd type="none" w="med" len="med"/>
                          </a:ln>
                        </wps:spPr>
                        <wps:bodyPr upright="1"/>
                      </wps:wsp>
                      <wps:wsp>
                        <wps:cNvPr id="6" name="直接连接符 6"/>
                        <wps:cNvCnPr/>
                        <wps:spPr>
                          <a:xfrm>
                            <a:off x="7042" y="203481"/>
                            <a:ext cx="8844" cy="2"/>
                          </a:xfrm>
                          <a:prstGeom prst="line">
                            <a:avLst/>
                          </a:prstGeom>
                          <a:ln w="12700" cap="flat" cmpd="sng">
                            <a:solidFill>
                              <a:srgbClr val="000000"/>
                            </a:solidFill>
                            <a:prstDash val="solid"/>
                            <a:headEnd type="none" w="med" len="med"/>
                            <a:tailEnd type="none" w="med" len="med"/>
                          </a:ln>
                        </wps:spPr>
                        <wps:bodyPr upright="1"/>
                      </wps:wsp>
                      <wps:wsp>
                        <wps:cNvPr id="7" name="文本框 7"/>
                        <wps:cNvSpPr txBox="1"/>
                        <wps:spPr>
                          <a:xfrm>
                            <a:off x="7037" y="202855"/>
                            <a:ext cx="4365" cy="624"/>
                          </a:xfrm>
                          <a:prstGeom prst="rect">
                            <a:avLst/>
                          </a:prstGeom>
                          <a:noFill/>
                          <a:ln w="12700">
                            <a:noFill/>
                          </a:ln>
                        </wps:spPr>
                        <wps:txbx>
                          <w:txbxContent>
                            <w:p>
                              <w:pPr>
                                <w:keepNext w:val="0"/>
                                <w:keepLines w:val="0"/>
                                <w:pageBreakBefore w:val="0"/>
                                <w:widowControl w:val="0"/>
                                <w:kinsoku/>
                                <w:wordWrap/>
                                <w:overflowPunct/>
                                <w:topLinePunct w:val="0"/>
                                <w:bidi w:val="0"/>
                                <w:adjustRightInd/>
                                <w:snapToGrid w:val="0"/>
                                <w:spacing w:line="420" w:lineRule="exact"/>
                                <w:jc w:val="left"/>
                                <w:textAlignment w:val="auto"/>
                              </w:pPr>
                              <w:r>
                                <w:rPr>
                                  <w:rFonts w:hint="eastAsia" w:ascii="Times New Roman" w:hAnsi="Times New Roman"/>
                                  <w:color w:val="FFFFFF"/>
                                  <w:sz w:val="28"/>
                                  <w:szCs w:val="28"/>
                                  <w:lang w:eastAsia="zh-CN"/>
                                </w:rPr>
                                <w:t>　</w:t>
                              </w:r>
                              <w:r>
                                <w:rPr>
                                  <w:rFonts w:ascii="Times New Roman" w:hAnsi="Times New Roman" w:eastAsia="仿宋_GB2312"/>
                                  <w:sz w:val="28"/>
                                  <w:szCs w:val="28"/>
                                </w:rPr>
                                <w:t>洛阳市孟津区人民政府办公室</w:t>
                              </w:r>
                            </w:p>
                          </w:txbxContent>
                        </wps:txbx>
                        <wps:bodyPr lIns="0" tIns="45720" rIns="0" bIns="45720" upright="1"/>
                      </wps:wsp>
                      <wps:wsp>
                        <wps:cNvPr id="8" name="文本框 8"/>
                        <wps:cNvSpPr txBox="1"/>
                        <wps:spPr>
                          <a:xfrm>
                            <a:off x="12626" y="202855"/>
                            <a:ext cx="3254" cy="624"/>
                          </a:xfrm>
                          <a:prstGeom prst="rect">
                            <a:avLst/>
                          </a:prstGeom>
                          <a:noFill/>
                          <a:ln w="12700">
                            <a:noFill/>
                          </a:ln>
                        </wps:spPr>
                        <wps:txbx>
                          <w:txbxContent>
                            <w:p>
                              <w:pPr>
                                <w:keepNext w:val="0"/>
                                <w:keepLines w:val="0"/>
                                <w:pageBreakBefore w:val="0"/>
                                <w:widowControl w:val="0"/>
                                <w:kinsoku/>
                                <w:wordWrap w:val="0"/>
                                <w:overflowPunct/>
                                <w:topLinePunct w:val="0"/>
                                <w:bidi w:val="0"/>
                                <w:adjustRightInd/>
                                <w:snapToGrid w:val="0"/>
                                <w:spacing w:line="420" w:lineRule="exact"/>
                                <w:jc w:val="right"/>
                                <w:textAlignment w:val="auto"/>
                                <w:rPr>
                                  <w:rFonts w:hint="eastAsia" w:eastAsia="仿宋_GB2312"/>
                                  <w:lang w:eastAsia="zh-CN"/>
                                </w:rPr>
                              </w:pP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shd w:val="clear" w:color="auto" w:fill="auto"/>
                                  <w:lang w:val="en-US" w:eastAsia="zh-CN"/>
                                </w:rPr>
                                <w:t>31</w:t>
                              </w:r>
                              <w:r>
                                <w:rPr>
                                  <w:rFonts w:hint="default" w:ascii="Times New Roman" w:hAnsi="Times New Roman" w:eastAsia="仿宋_GB2312" w:cs="Times New Roman"/>
                                  <w:sz w:val="28"/>
                                  <w:szCs w:val="28"/>
                                </w:rPr>
                                <w:t>日印发</w:t>
                              </w:r>
                              <w:r>
                                <w:rPr>
                                  <w:rFonts w:hint="default" w:ascii="Times New Roman" w:hAnsi="Times New Roman" w:eastAsia="仿宋_GB2312" w:cs="Times New Roman"/>
                                  <w:color w:val="FFFFFF"/>
                                  <w:sz w:val="28"/>
                                  <w:szCs w:val="28"/>
                                  <w:lang w:eastAsia="zh-CN"/>
                                </w:rPr>
                                <w:t>　</w:t>
                              </w:r>
                            </w:p>
                          </w:txbxContent>
                        </wps:txbx>
                        <wps:bodyPr lIns="0" tIns="45720" rIns="0" bIns="45720" upright="1"/>
                      </wps:wsp>
                      <wps:wsp>
                        <wps:cNvPr id="9" name="直接连接符 9"/>
                        <wps:cNvCnPr/>
                        <wps:spPr>
                          <a:xfrm>
                            <a:off x="7042" y="202850"/>
                            <a:ext cx="8844" cy="1"/>
                          </a:xfrm>
                          <a:prstGeom prst="line">
                            <a:avLst/>
                          </a:prstGeom>
                          <a:ln w="6350"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0.45pt;margin-top:584.3pt;height:64.8pt;width:442.45pt;z-index:251662336;mso-width-relative:page;mso-height-relative:page;" coordorigin="7037,202187" coordsize="8849,1296" o:gfxdata="UEsDBAoAAAAAAIdO4kAAAAAAAAAAAAAAAAAEAAAAZHJzL1BLAwQUAAAACACHTuJAlxYhMtoAAAAL&#10;AQAADwAAAGRycy9kb3ducmV2LnhtbE2PXUvDMBSG7wX/QzgD77Y0VUvWNR0y1KshuAniXdactWVN&#10;Upqs3f69xyt3ed7z8H4U64vt2IhDaL1TIBYJMHSVN62rFXzt3+YSWIjaGd15hwquGGBd3t8VOjd+&#10;cp847mLNyMSFXCtoYuxzzkPVoNVh4Xt09Dv6wepI51BzM+iJzG3H0yTJuNWto4RG97hpsDrtzlbB&#10;+6Snl0fxOm5Px831Z//88b0VqNTDTCQrYBEv8R+Gv/pUHUrqdPBnZwLrFMyXBJIsMpkBI0DKJxp3&#10;ICldyhR4WfDbDeUvUEsDBBQAAAAIAIdO4kAWEEVqNgMAADYMAAAOAAAAZHJzL2Uyb0RvYy54bWzt&#10;VktvEzEQviPxH6y9033ktVk1qURbKiQElQo/wNn1PqRd27LdbHJHwAlx4gJC4gCnHrlx4NeQ8jMY&#10;e51Hm7QqQQIkmsPGj7E9883MN7O7N6lKNCZCFowOHH/HcxChMUsKmg2cZ08f3AsdJBWmCS4ZJQNn&#10;SqSzN7x7Z7fmEQlYzsqECASXUBnVfODkSvHIdWWckwrLHcYJhc2UiQormIrMTQSu4faqdAPP67o1&#10;EwkXLCZSwupBs+kMzf1pSmL1JE0lUagcOKCbMl9hviP9dYe7OMoE5nkRWzXwFlpUuKDw6OKqA6ww&#10;OhXF2lVVEQsmWap2Yla5LE2LmBgbwBrfu2TNkWCn3NiSRXXGFzABtJdw2vra+PH4WKAiGTgtB1Fc&#10;gYvOvz7//uYVamlsap5FIHIk+Ak/FnYha2ba3EkqKv0PhqCJQXW6QJVMFIphsdP1+77fcVAMe2EQ&#10;9LsW9jgH3+hjPa/VcxDsBl7gh73GKXF+aC8Iw3a/Oe3DYb3rzl92tYILfWoOQSSXOMnfw+kkx5wY&#10;+KUGweIEhlic3n2Zvf7049sH+J6ffUadBjAju08tWjKSANwGqHpe21+zeQ4ZWNxuLA4umIsjLqQ6&#10;IqxCejBwyoJqDXGEx4+kapCZi+jlkqIa0jLoeRD8MYYES0usYFhxcLmkmTksWVkkD4qy1EekyEb7&#10;pUBjrFPG/KwOF8T0KwdY5o2c2dJiOMoJTg5pgtSUQzBRyHpH61CRxEElAZLQIyOpcFHeRBK8XVJw&#10;unZvg6YejVgyBZecclFkOUDhGy1tCOjI/QOx0L0qFkyUahUgbm4UC4GNhVY7NIbg6DYWNkXNvxsL&#10;wGANL8zevpy9P5t9fIEMk9ko0PyJ1OQ+A74zHtbrV3LDkg/DjuGVZTy0W13Lpd2gbTNzTsPz1Lfs&#10;IKD8XccOlOmkN7m4ShQ6ixdbmwFXk9EEzmkbbB6WDynQrS6xZtDu9AKYiPnqaHX1r+YsNCSX/RRq&#10;GLfwkx90A6CApnCtOaoVdCyJ3zrq+j5nc6GFmr+50PZX3PVL5BqEHdt6rJNrUz7mfcWWhbbbggf+&#10;rzprOjBoTk1TZhtp3f2uzk3tXrb7w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BQAAW0NvbnRlbnRfVHlwZXNdLnhtbFBLAQIUAAoAAAAAAIdO&#10;4kAAAAAAAAAAAAAAAAAGAAAAAAAAAAAAEAAAAIsEAABfcmVscy9QSwECFAAUAAAACACHTuJAihRm&#10;PNEAAACUAQAACwAAAAAAAAABACAAAACvBAAAX3JlbHMvLnJlbHNQSwECFAAKAAAAAACHTuJAAAAA&#10;AAAAAAAAAAAABAAAAAAAAAAAABAAAAAAAAAAZHJzL1BLAQIUABQAAAAIAIdO4kCXFiEy2gAAAAsB&#10;AAAPAAAAAAAAAAEAIAAAACIAAABkcnMvZG93bnJldi54bWxQSwECFAAUAAAACACHTuJAFhBFajYD&#10;AAA2DAAADgAAAAAAAAABACAAAAApAQAAZHJzL2Uyb0RvYy54bWxQSwUGAAAAAAYABgBZAQAA0QYA&#10;AAAA&#10;">
                <o:lock v:ext="edit" aspectratio="f"/>
                <v:line id="_x0000_s1026" o:spid="_x0000_s1026" o:spt="20" style="position:absolute;left:7041;top:202187;height:2;width:8844;" filled="f" stroked="t" coordsize="21600,21600" o:gfxdata="UEsDBAoAAAAAAIdO4kAAAAAAAAAAAAAAAAAEAAAAZHJzL1BLAwQUAAAACACHTuJAhMPErLwAAADa&#10;AAAADwAAAGRycy9kb3ducmV2LnhtbEWPS4sCMRCE74L/IbTgTTMKusOs0YMiPvDiA/baTHons046&#10;4yS+/r0RFjwWVfUVNZk9bCVu1PjSsYJBPwFBnDtdcqHgdFz2UhA+IGusHJOCJ3mYTdutCWba3XlP&#10;t0MoRISwz1CBCaHOpPS5IYu+72ri6P26xmKIsimkbvAe4baSwyQZS4slxwWDNc0N5efD1SrAxWof&#10;ftLh9qvcmN3fcXlZmfSiVLczSL5BBHqET/i/vdYKRvC+Em+An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TDxKy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x0000_s1026" o:spid="_x0000_s1026" o:spt="20" style="position:absolute;left:7042;top:203481;height:2;width:8844;" filled="f" stroked="t" coordsize="21600,21600" o:gfxdata="UEsDBAoAAAAAAIdO4kAAAAAAAAAAAAAAAAAEAAAAZHJzL1BLAwQUAAAACACHTuJAdBFa27wAAADa&#10;AAAADwAAAGRycy9kb3ducmV2LnhtbEWPS2/CMBCE70j8B2uRuIETDhClmBxAiId64SFxXcXbOG28&#10;DrF5/fsaqVKPo5n5RjMvnrYRd+p87VhBOk5AEJdO11wpOJ/WowyED8gaG8ek4EUeikW/N8dcuwcf&#10;6H4MlYgQ9jkqMCG0uZS+NGTRj11LHL0v11kMUXaV1B0+Itw2cpIkU2mx5rhgsKWlofLneLMKcLU5&#10;hEs22c/qnfn8Pq2vG5NdlRoO0uQDRKBn+A//tbdawRTeV+INkI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QRWtu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shape id="_x0000_s1026" o:spid="_x0000_s1026" o:spt="202" type="#_x0000_t202" style="position:absolute;left:7037;top:202855;height:624;width:4365;" filled="f" stroked="f" coordsize="21600,21600" o:gfxdata="UEsDBAoAAAAAAIdO4kAAAAAAAAAAAAAAAAAEAAAAZHJzL1BLAwQUAAAACACHTuJA7qQZcsAAAADa&#10;AAAADwAAAGRycy9kb3ducmV2LnhtbEWPQWvCQBSE74X+h+UVeim6aw9VoquUQtGChzZR0Nsz+0xi&#10;s29Ddo3aX98VBI/DzHzDTGZnW4uOWl851jDoKxDEuTMVFxpW2WdvBMIHZIO1Y9JwIQ+z6ePDBBPj&#10;TvxDXRoKESHsE9RQhtAkUvq8JIu+7xri6O1dazFE2RbStHiKcFvLV6XepMWK40KJDX2UlP+mR6th&#10;/tVll83Ld7pcHbcHtev+3tfLTOvnp4Eagwh0Dvfwrb0wGoZwvRJvgJ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upBly&#10;wAAAANoAAAAPAAAAAAAAAAEAIAAAACIAAABkcnMvZG93bnJldi54bWxQSwECFAAUAAAACACHTuJA&#10;My8FnjsAAAA5AAAAEAAAAAAAAAABACAAAAAPAQAAZHJzL3NoYXBleG1sLnhtbFBLBQYAAAAABgAG&#10;AFsBAAC5AwAAAAA=&#10;">
                  <v:fill on="f" focussize="0,0"/>
                  <v:stroke on="f" weight="1pt"/>
                  <v:imagedata o:title=""/>
                  <o:lock v:ext="edit" aspectratio="f"/>
                  <v:textbox inset="0mm,1.27mm,0mm,1.27mm">
                    <w:txbxContent>
                      <w:p>
                        <w:pPr>
                          <w:keepNext w:val="0"/>
                          <w:keepLines w:val="0"/>
                          <w:pageBreakBefore w:val="0"/>
                          <w:widowControl w:val="0"/>
                          <w:kinsoku/>
                          <w:wordWrap/>
                          <w:overflowPunct/>
                          <w:topLinePunct w:val="0"/>
                          <w:bidi w:val="0"/>
                          <w:adjustRightInd/>
                          <w:snapToGrid w:val="0"/>
                          <w:spacing w:line="420" w:lineRule="exact"/>
                          <w:jc w:val="left"/>
                          <w:textAlignment w:val="auto"/>
                        </w:pPr>
                        <w:r>
                          <w:rPr>
                            <w:rFonts w:hint="eastAsia" w:ascii="Times New Roman" w:hAnsi="Times New Roman"/>
                            <w:color w:val="FFFFFF"/>
                            <w:sz w:val="28"/>
                            <w:szCs w:val="28"/>
                            <w:lang w:eastAsia="zh-CN"/>
                          </w:rPr>
                          <w:t>　</w:t>
                        </w:r>
                        <w:r>
                          <w:rPr>
                            <w:rFonts w:ascii="Times New Roman" w:hAnsi="Times New Roman" w:eastAsia="仿宋_GB2312"/>
                            <w:sz w:val="28"/>
                            <w:szCs w:val="28"/>
                          </w:rPr>
                          <w:t>洛阳市孟津区人民政府办公室</w:t>
                        </w:r>
                      </w:p>
                    </w:txbxContent>
                  </v:textbox>
                </v:shape>
                <v:shape id="_x0000_s1026" o:spid="_x0000_s1026" o:spt="202" type="#_x0000_t202" style="position:absolute;left:12626;top:202855;height:624;width:3254;" filled="f" stroked="f" coordsize="21600,21600" o:gfxdata="UEsDBAoAAAAAAIdO4kAAAAAAAAAAAAAAAAAEAAAAZHJzL1BLAwQUAAAACACHTuJAnzuNALwAAADa&#10;AAAADwAAAGRycy9kb3ducmV2LnhtbEVPy2rCQBTdC/2H4Ra6EZ2xi1Kio4hQ2oKLmijo7pq5JtHM&#10;nZAZ4+PrOwvB5eG8J7OrrUVHra8caxgNFQji3JmKCw3r7GvwCcIHZIO1Y9JwIw+z6UtvgolxF15R&#10;l4ZCxBD2CWooQ2gSKX1ekkU/dA1x5A6utRgibAtpWrzEcFvLd6U+pMWKY0OJDS1Kyk/p2Wr4/u2y&#10;27b/ly7X591R7bv7fLPMtH57HakxiEDX8BQ/3D9GQ9war8Qb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87jQC8AAAA&#10;2gAAAA8AAAAAAAAAAQAgAAAAIgAAAGRycy9kb3ducmV2LnhtbFBLAQIUABQAAAAIAIdO4kAzLwWe&#10;OwAAADkAAAAQAAAAAAAAAAEAIAAAAAsBAABkcnMvc2hhcGV4bWwueG1sUEsFBgAAAAAGAAYAWwEA&#10;ALUDAAAAAA==&#10;">
                  <v:fill on="f" focussize="0,0"/>
                  <v:stroke on="f" weight="1pt"/>
                  <v:imagedata o:title=""/>
                  <o:lock v:ext="edit" aspectratio="f"/>
                  <v:textbox inset="0mm,1.27mm,0mm,1.27mm">
                    <w:txbxContent>
                      <w:p>
                        <w:pPr>
                          <w:keepNext w:val="0"/>
                          <w:keepLines w:val="0"/>
                          <w:pageBreakBefore w:val="0"/>
                          <w:widowControl w:val="0"/>
                          <w:kinsoku/>
                          <w:wordWrap w:val="0"/>
                          <w:overflowPunct/>
                          <w:topLinePunct w:val="0"/>
                          <w:bidi w:val="0"/>
                          <w:adjustRightInd/>
                          <w:snapToGrid w:val="0"/>
                          <w:spacing w:line="420" w:lineRule="exact"/>
                          <w:jc w:val="right"/>
                          <w:textAlignment w:val="auto"/>
                          <w:rPr>
                            <w:rFonts w:hint="eastAsia" w:eastAsia="仿宋_GB2312"/>
                            <w:lang w:eastAsia="zh-CN"/>
                          </w:rPr>
                        </w:pP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shd w:val="clear" w:color="auto" w:fill="auto"/>
                            <w:lang w:val="en-US" w:eastAsia="zh-CN"/>
                          </w:rPr>
                          <w:t>31</w:t>
                        </w:r>
                        <w:r>
                          <w:rPr>
                            <w:rFonts w:hint="default" w:ascii="Times New Roman" w:hAnsi="Times New Roman" w:eastAsia="仿宋_GB2312" w:cs="Times New Roman"/>
                            <w:sz w:val="28"/>
                            <w:szCs w:val="28"/>
                          </w:rPr>
                          <w:t>日印发</w:t>
                        </w:r>
                        <w:r>
                          <w:rPr>
                            <w:rFonts w:hint="default" w:ascii="Times New Roman" w:hAnsi="Times New Roman" w:eastAsia="仿宋_GB2312" w:cs="Times New Roman"/>
                            <w:color w:val="FFFFFF"/>
                            <w:sz w:val="28"/>
                            <w:szCs w:val="28"/>
                            <w:lang w:eastAsia="zh-CN"/>
                          </w:rPr>
                          <w:t>　</w:t>
                        </w:r>
                      </w:p>
                    </w:txbxContent>
                  </v:textbox>
                </v:shape>
                <v:line id="_x0000_s1026" o:spid="_x0000_s1026" o:spt="20" style="position:absolute;left:7042;top:202850;height:1;width:8844;" filled="f" stroked="t" coordsize="21600,21600" o:gfxdata="UEsDBAoAAAAAAIdO4kAAAAAAAAAAAAAAAAAEAAAAZHJzL1BLAwQUAAAACACHTuJAJXEEe7sAAADa&#10;AAAADwAAAGRycy9kb3ducmV2LnhtbEWPQUvEMBSE78L+h/AWvLlJhYrWze5B6LIXD67i+dE822Lz&#10;UpK3zeqvN4LgcZiZb5jt/uIntVBMY2AL1caAIu6CG7m38Pba3tyDSoLscApMFr4owX63utpi40Lm&#10;F1pO0qsC4dSghUFkbrRO3UAe0ybMxMX7CNGjFBl77SLmAveTvjXmT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XEEe7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p>
    <w:sectPr>
      <w:footerReference r:id="rId4" w:type="default"/>
      <w:pgSz w:w="11906" w:h="16838"/>
      <w:pgMar w:top="1871" w:right="1542" w:bottom="1899" w:left="149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Segoe UI">
    <w:altName w:val="华文中宋"/>
    <w:panose1 w:val="00000000000000000000"/>
    <w:charset w:val="00"/>
    <w:family w:val="auto"/>
    <w:pitch w:val="default"/>
    <w:sig w:usb0="00000000" w:usb1="00000000" w:usb2="00000000" w:usb3="00000000" w:csb0="00040001" w:csb1="00000000"/>
  </w:font>
  <w:font w:name="等线;微软雅黑">
    <w:altName w:val="黑体"/>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8013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8013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85.05pt;mso-position-horizontal:outside;mso-position-horizontal-relative:margin;z-index:251659264;mso-width-relative:page;mso-height-relative:page;" filled="f" stroked="f" coordsize="21600,21600" o:gfxdata="UEsDBAoAAAAAAIdO4kAAAAAAAAAAAAAAAAAEAAAAZHJzL1BLAwQUAAAACACHTuJA+qipWtMAAAAF&#10;AQAADwAAAGRycy9kb3ducmV2LnhtbE2PMU/DMBCFdyT+g3VIbNROB4hCnA4VdICJFCHGa3yJQ+Nz&#10;FLtp4dfjstDlpKd399535erkBjHTFHrPGrKFAkHceNNzp+F9+3yXgwgR2eDgmTR8U4BVdX1VYmH8&#10;kd9ormMnUgiHAjXYGMdCytBYchgWfiROXusnhzHJqZNmwmMKd4NcKnUvHfacGiyOtLbU7OuDSxgf&#10;r8ptflr76V6wDbXdzpunL61vbzL1CCLSKf4vwxk/3UCVmHb+wCaIQUN6JP7Ns/egMhA7Dcs8VyCr&#10;Ul7SV79QSwMEFAAAAAgAh07iQJFwYkobAgAAFQQAAA4AAABkcnMvZTJvRG9jLnhtbK1TzY7TMBC+&#10;I/EOlu80aVe7qqqmq7KrIqSKXakgzq7jNJFsjxm7TcoDwBtw4sJ9n6vPwdhJuwg4IS7OxPP7ffN5&#10;ftsZzQ4KfQO24ONRzpmyEsrG7gr+4f3q1ZQzH4QthQarCn5Unt8uXr6Yt26mJlCDLhUyKmL9rHUF&#10;r0NwsyzzslZG+BE4ZclZARoR6Bd3WYmipepGZ5M8v8lawNIhSOU93d73Tr5I9atKyfBQVV4FpgtO&#10;s4V0Yjq38cwWczHboXB1I4cxxD9MYURjqeml1L0Igu2x+aOUaSSChyqMJJgMqqqRKmEgNOP8NzSb&#10;WjiVsBA53l1o8v+vrHx3eETWlLQ7zqwwtKLTt6+n70+nH1/YONLTOj+jqI2juNC9hi6GDveeLiPq&#10;rkITv4SHkZ+IPl7IVV1gMibl03x8dc2ZJN94OplO80R/9pzu0Ic3CgyLRsGRtpdIFYe1D9SSQs8h&#10;sZuFVaN12qC2rC34zdV1nhIuHsrQlhIjiH7YaIVu2w0ItlAeCRhCrwzv5Kqh5mvhw6NAkgJhIXmH&#10;BzoqDdQEBouzGvDz3+5jPG2IvJy1JK2C+097gYoz/dbS7qIOzwaeje3ZsHtzB6RW2gdNk0xKwKDP&#10;ZoVgPpLql7ELuYSV1Kvg4WzehV7g9GqkWi5T0N5hs6v7BFKeE2FtN07GNpFK75b7QHQmliNFPS8D&#10;c6S9RP7wTqK4f/1PUc+vefE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ipWtMAAAAFAQAADwAA&#10;AAAAAAABACAAAAAiAAAAZHJzL2Rvd25yZXYueG1sUEsBAhQAFAAAAAgAh07iQJFwYkobAgAAFQQA&#10;AA4AAAAAAAAAAQAgAAAAIgEAAGRycy9lMm9Eb2MueG1sUEsFBgAAAAAGAAYAWQEAAK8FAAAAAA==&#10;">
              <v:fill on="f" focussize="0,0"/>
              <v:stroke on="f" weight="0.5pt"/>
              <v:imagedata o:title=""/>
              <o:lock v:ext="edit" aspectratio="f"/>
              <v:textbox inset="0mm,0mm,0mm,0mm" style="mso-fit-shape-to-text:t;">
                <w:txbxContent>
                  <w:p>
                    <w:pPr>
                      <w:pStyle w:val="5"/>
                      <w:jc w:val="center"/>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mYTRlODA3Yjg3ZDE4MWJmNjA5OWE3NTcwNTFkYjYifQ=="/>
  </w:docVars>
  <w:rsids>
    <w:rsidRoot w:val="14E149F6"/>
    <w:rsid w:val="00083F6A"/>
    <w:rsid w:val="001822FE"/>
    <w:rsid w:val="002C2CBB"/>
    <w:rsid w:val="00346129"/>
    <w:rsid w:val="003C28DE"/>
    <w:rsid w:val="004479E5"/>
    <w:rsid w:val="006612CD"/>
    <w:rsid w:val="007C2CDB"/>
    <w:rsid w:val="008C6C96"/>
    <w:rsid w:val="00995AE1"/>
    <w:rsid w:val="009E70F5"/>
    <w:rsid w:val="00A41ECF"/>
    <w:rsid w:val="00AB35C0"/>
    <w:rsid w:val="00BC6B58"/>
    <w:rsid w:val="00C30909"/>
    <w:rsid w:val="00C36B5B"/>
    <w:rsid w:val="00EB1C0E"/>
    <w:rsid w:val="00EC0673"/>
    <w:rsid w:val="010A5041"/>
    <w:rsid w:val="01101675"/>
    <w:rsid w:val="01132522"/>
    <w:rsid w:val="01170C55"/>
    <w:rsid w:val="012D66CB"/>
    <w:rsid w:val="012E59E9"/>
    <w:rsid w:val="013637D1"/>
    <w:rsid w:val="016C2D4F"/>
    <w:rsid w:val="017442FA"/>
    <w:rsid w:val="018C33F1"/>
    <w:rsid w:val="01A85D51"/>
    <w:rsid w:val="01B04F57"/>
    <w:rsid w:val="01B464A4"/>
    <w:rsid w:val="01B6221C"/>
    <w:rsid w:val="01D54D98"/>
    <w:rsid w:val="0256755B"/>
    <w:rsid w:val="02781676"/>
    <w:rsid w:val="02873BB9"/>
    <w:rsid w:val="02D36DFE"/>
    <w:rsid w:val="02DA1F3A"/>
    <w:rsid w:val="02DC2156"/>
    <w:rsid w:val="02FC45A7"/>
    <w:rsid w:val="030376E3"/>
    <w:rsid w:val="03045209"/>
    <w:rsid w:val="03086AA8"/>
    <w:rsid w:val="031F2043"/>
    <w:rsid w:val="03404493"/>
    <w:rsid w:val="03707C33"/>
    <w:rsid w:val="0397607D"/>
    <w:rsid w:val="03A2514E"/>
    <w:rsid w:val="03B46C2F"/>
    <w:rsid w:val="03BE185C"/>
    <w:rsid w:val="03CA1FAF"/>
    <w:rsid w:val="03E33071"/>
    <w:rsid w:val="04073203"/>
    <w:rsid w:val="04090D29"/>
    <w:rsid w:val="040C262D"/>
    <w:rsid w:val="04226378"/>
    <w:rsid w:val="044955CA"/>
    <w:rsid w:val="044B7594"/>
    <w:rsid w:val="046C12B8"/>
    <w:rsid w:val="046C3066"/>
    <w:rsid w:val="049031F8"/>
    <w:rsid w:val="04936845"/>
    <w:rsid w:val="04C42EA2"/>
    <w:rsid w:val="04DF5F2E"/>
    <w:rsid w:val="04E92909"/>
    <w:rsid w:val="053C6EDC"/>
    <w:rsid w:val="05412745"/>
    <w:rsid w:val="05665D07"/>
    <w:rsid w:val="05B44CC5"/>
    <w:rsid w:val="05E337FC"/>
    <w:rsid w:val="05E97064"/>
    <w:rsid w:val="05EA6938"/>
    <w:rsid w:val="05EC26B0"/>
    <w:rsid w:val="05FD666C"/>
    <w:rsid w:val="06293905"/>
    <w:rsid w:val="063D2F0C"/>
    <w:rsid w:val="063F4ED6"/>
    <w:rsid w:val="064029FC"/>
    <w:rsid w:val="06497B03"/>
    <w:rsid w:val="069D7E4F"/>
    <w:rsid w:val="06BD229F"/>
    <w:rsid w:val="06F23CF7"/>
    <w:rsid w:val="071023CF"/>
    <w:rsid w:val="071512D1"/>
    <w:rsid w:val="07181283"/>
    <w:rsid w:val="072E6CF9"/>
    <w:rsid w:val="073F4A62"/>
    <w:rsid w:val="074958E1"/>
    <w:rsid w:val="07CA07CF"/>
    <w:rsid w:val="07FE66CB"/>
    <w:rsid w:val="08002443"/>
    <w:rsid w:val="08114550"/>
    <w:rsid w:val="08253C58"/>
    <w:rsid w:val="082D1C66"/>
    <w:rsid w:val="0834753B"/>
    <w:rsid w:val="083E11BD"/>
    <w:rsid w:val="086C7AD9"/>
    <w:rsid w:val="089808CE"/>
    <w:rsid w:val="08987DAC"/>
    <w:rsid w:val="089B216C"/>
    <w:rsid w:val="08AC4379"/>
    <w:rsid w:val="08C711B3"/>
    <w:rsid w:val="08EB30F3"/>
    <w:rsid w:val="08FB2C0B"/>
    <w:rsid w:val="09267C87"/>
    <w:rsid w:val="095742E5"/>
    <w:rsid w:val="09684744"/>
    <w:rsid w:val="098F7F23"/>
    <w:rsid w:val="09A03EDE"/>
    <w:rsid w:val="09BB0D18"/>
    <w:rsid w:val="09BE4364"/>
    <w:rsid w:val="09D43B87"/>
    <w:rsid w:val="09DE0562"/>
    <w:rsid w:val="09DE4A06"/>
    <w:rsid w:val="09EF6C13"/>
    <w:rsid w:val="0A227C05"/>
    <w:rsid w:val="0A375EC4"/>
    <w:rsid w:val="0A742C74"/>
    <w:rsid w:val="0A786C09"/>
    <w:rsid w:val="0A7D24C8"/>
    <w:rsid w:val="0A981059"/>
    <w:rsid w:val="0AA95014"/>
    <w:rsid w:val="0AAA2B3A"/>
    <w:rsid w:val="0AAE6186"/>
    <w:rsid w:val="0ADD081A"/>
    <w:rsid w:val="0AF3003D"/>
    <w:rsid w:val="0B022976"/>
    <w:rsid w:val="0B071D3B"/>
    <w:rsid w:val="0B3C7C36"/>
    <w:rsid w:val="0B4B7E79"/>
    <w:rsid w:val="0B6B4B36"/>
    <w:rsid w:val="0B7C6285"/>
    <w:rsid w:val="0B9342F9"/>
    <w:rsid w:val="0BBE4AEF"/>
    <w:rsid w:val="0BBF43C3"/>
    <w:rsid w:val="0BCB0FBA"/>
    <w:rsid w:val="0BD25EA5"/>
    <w:rsid w:val="0BD95D00"/>
    <w:rsid w:val="0BE800E8"/>
    <w:rsid w:val="0C0D3381"/>
    <w:rsid w:val="0C281F69"/>
    <w:rsid w:val="0C436DA2"/>
    <w:rsid w:val="0C4F3999"/>
    <w:rsid w:val="0C5745FC"/>
    <w:rsid w:val="0C931AD8"/>
    <w:rsid w:val="0CA722A9"/>
    <w:rsid w:val="0CAC0DEC"/>
    <w:rsid w:val="0CC53C5B"/>
    <w:rsid w:val="0CFA1B57"/>
    <w:rsid w:val="0CFB142B"/>
    <w:rsid w:val="0CFF53BF"/>
    <w:rsid w:val="0D074274"/>
    <w:rsid w:val="0D093B48"/>
    <w:rsid w:val="0D1424ED"/>
    <w:rsid w:val="0D197B03"/>
    <w:rsid w:val="0D3F3A0E"/>
    <w:rsid w:val="0D837D9E"/>
    <w:rsid w:val="0D907DC5"/>
    <w:rsid w:val="0D9F625A"/>
    <w:rsid w:val="0DA43871"/>
    <w:rsid w:val="0DED3E95"/>
    <w:rsid w:val="0E2F3A82"/>
    <w:rsid w:val="0E440BB0"/>
    <w:rsid w:val="0E6354DA"/>
    <w:rsid w:val="0E6D45AA"/>
    <w:rsid w:val="0E903DF5"/>
    <w:rsid w:val="0ECA5559"/>
    <w:rsid w:val="0EDE2DB2"/>
    <w:rsid w:val="0EE3661B"/>
    <w:rsid w:val="0EEE56EB"/>
    <w:rsid w:val="0EFB1BB6"/>
    <w:rsid w:val="0EFB3964"/>
    <w:rsid w:val="0F096081"/>
    <w:rsid w:val="0F1B7B63"/>
    <w:rsid w:val="0F3A0931"/>
    <w:rsid w:val="0F44530B"/>
    <w:rsid w:val="0F6E05DA"/>
    <w:rsid w:val="0F8676D2"/>
    <w:rsid w:val="0F8A6A96"/>
    <w:rsid w:val="0FAB7138"/>
    <w:rsid w:val="0FB3423F"/>
    <w:rsid w:val="0FB57FB7"/>
    <w:rsid w:val="0FB71F81"/>
    <w:rsid w:val="0FC454A9"/>
    <w:rsid w:val="10142F30"/>
    <w:rsid w:val="10260EB5"/>
    <w:rsid w:val="104D6442"/>
    <w:rsid w:val="10525AE9"/>
    <w:rsid w:val="109201F1"/>
    <w:rsid w:val="10B93AD7"/>
    <w:rsid w:val="10BD35C7"/>
    <w:rsid w:val="10BE2E9B"/>
    <w:rsid w:val="10D10E21"/>
    <w:rsid w:val="10D426BF"/>
    <w:rsid w:val="10DC1574"/>
    <w:rsid w:val="10DE353E"/>
    <w:rsid w:val="10E2302E"/>
    <w:rsid w:val="10E8616A"/>
    <w:rsid w:val="11427629"/>
    <w:rsid w:val="11470817"/>
    <w:rsid w:val="115050FF"/>
    <w:rsid w:val="11625F1D"/>
    <w:rsid w:val="116C6D9B"/>
    <w:rsid w:val="11731ED8"/>
    <w:rsid w:val="11BD13A5"/>
    <w:rsid w:val="11D02E86"/>
    <w:rsid w:val="11D0732A"/>
    <w:rsid w:val="11DD55A3"/>
    <w:rsid w:val="1209283C"/>
    <w:rsid w:val="12105979"/>
    <w:rsid w:val="121C60CC"/>
    <w:rsid w:val="12217B86"/>
    <w:rsid w:val="12443874"/>
    <w:rsid w:val="12704669"/>
    <w:rsid w:val="127759F8"/>
    <w:rsid w:val="12A14823"/>
    <w:rsid w:val="12B207DE"/>
    <w:rsid w:val="12B427A8"/>
    <w:rsid w:val="12C0739F"/>
    <w:rsid w:val="12FE1C75"/>
    <w:rsid w:val="13130853"/>
    <w:rsid w:val="13225964"/>
    <w:rsid w:val="13313DF9"/>
    <w:rsid w:val="134E49AB"/>
    <w:rsid w:val="13871C6A"/>
    <w:rsid w:val="13D824C6"/>
    <w:rsid w:val="13EB044B"/>
    <w:rsid w:val="14294AD0"/>
    <w:rsid w:val="1433594E"/>
    <w:rsid w:val="144274A8"/>
    <w:rsid w:val="148050B6"/>
    <w:rsid w:val="14E149F6"/>
    <w:rsid w:val="14E31122"/>
    <w:rsid w:val="14F63574"/>
    <w:rsid w:val="153656F6"/>
    <w:rsid w:val="1546345F"/>
    <w:rsid w:val="154A2F50"/>
    <w:rsid w:val="15542020"/>
    <w:rsid w:val="156758B0"/>
    <w:rsid w:val="156F0C08"/>
    <w:rsid w:val="1582093B"/>
    <w:rsid w:val="158A5A42"/>
    <w:rsid w:val="15A5462A"/>
    <w:rsid w:val="15BA6327"/>
    <w:rsid w:val="15CA22E2"/>
    <w:rsid w:val="15EC2259"/>
    <w:rsid w:val="15FF1F8C"/>
    <w:rsid w:val="160B6B83"/>
    <w:rsid w:val="1632283F"/>
    <w:rsid w:val="16344E40"/>
    <w:rsid w:val="163C6D3C"/>
    <w:rsid w:val="164107F7"/>
    <w:rsid w:val="16442095"/>
    <w:rsid w:val="164F1DB4"/>
    <w:rsid w:val="165878EE"/>
    <w:rsid w:val="165C73DE"/>
    <w:rsid w:val="16781D3E"/>
    <w:rsid w:val="168406E3"/>
    <w:rsid w:val="16930926"/>
    <w:rsid w:val="16FD1348"/>
    <w:rsid w:val="1723372C"/>
    <w:rsid w:val="17650515"/>
    <w:rsid w:val="17771FF6"/>
    <w:rsid w:val="17AD5A18"/>
    <w:rsid w:val="17BB6387"/>
    <w:rsid w:val="17CA130A"/>
    <w:rsid w:val="17CC2342"/>
    <w:rsid w:val="17D11706"/>
    <w:rsid w:val="17E520D8"/>
    <w:rsid w:val="17EA0A1A"/>
    <w:rsid w:val="1804388A"/>
    <w:rsid w:val="18147845"/>
    <w:rsid w:val="18153CE9"/>
    <w:rsid w:val="181D2B9D"/>
    <w:rsid w:val="187529D9"/>
    <w:rsid w:val="18773C95"/>
    <w:rsid w:val="187A1D9E"/>
    <w:rsid w:val="187C5B16"/>
    <w:rsid w:val="18814EDA"/>
    <w:rsid w:val="18860743"/>
    <w:rsid w:val="189C1D14"/>
    <w:rsid w:val="18B925E5"/>
    <w:rsid w:val="18D23988"/>
    <w:rsid w:val="18D45952"/>
    <w:rsid w:val="18EB2C9C"/>
    <w:rsid w:val="19061883"/>
    <w:rsid w:val="19145D4E"/>
    <w:rsid w:val="19153011"/>
    <w:rsid w:val="1939049A"/>
    <w:rsid w:val="19695A49"/>
    <w:rsid w:val="196F11D7"/>
    <w:rsid w:val="19704F4F"/>
    <w:rsid w:val="19BB266E"/>
    <w:rsid w:val="19E00326"/>
    <w:rsid w:val="19F8741E"/>
    <w:rsid w:val="19FB2A6A"/>
    <w:rsid w:val="1A134258"/>
    <w:rsid w:val="1A330456"/>
    <w:rsid w:val="1A8B2040"/>
    <w:rsid w:val="1AB31597"/>
    <w:rsid w:val="1AB64BE3"/>
    <w:rsid w:val="1ACE4623"/>
    <w:rsid w:val="1ACE63D1"/>
    <w:rsid w:val="1ADA6B24"/>
    <w:rsid w:val="1ADE4866"/>
    <w:rsid w:val="1B267FBB"/>
    <w:rsid w:val="1B373F76"/>
    <w:rsid w:val="1B5E08D6"/>
    <w:rsid w:val="1B824363"/>
    <w:rsid w:val="1B8B6070"/>
    <w:rsid w:val="1BA809D0"/>
    <w:rsid w:val="1BC82E20"/>
    <w:rsid w:val="1BD45C69"/>
    <w:rsid w:val="1BD87507"/>
    <w:rsid w:val="1BE0460E"/>
    <w:rsid w:val="1BE51C24"/>
    <w:rsid w:val="1C033E58"/>
    <w:rsid w:val="1C0C5403"/>
    <w:rsid w:val="1C163B8C"/>
    <w:rsid w:val="1C317126"/>
    <w:rsid w:val="1C35495A"/>
    <w:rsid w:val="1C393D1E"/>
    <w:rsid w:val="1C3E1334"/>
    <w:rsid w:val="1C422BD3"/>
    <w:rsid w:val="1C7F5BD5"/>
    <w:rsid w:val="1C910831"/>
    <w:rsid w:val="1C9F6277"/>
    <w:rsid w:val="1CAB69CA"/>
    <w:rsid w:val="1CB3762C"/>
    <w:rsid w:val="1CB6536F"/>
    <w:rsid w:val="1CC23D13"/>
    <w:rsid w:val="1CE41EDC"/>
    <w:rsid w:val="1CFC0FD3"/>
    <w:rsid w:val="1D044371"/>
    <w:rsid w:val="1D1F1166"/>
    <w:rsid w:val="1D230C56"/>
    <w:rsid w:val="1D5C4168"/>
    <w:rsid w:val="1D721295"/>
    <w:rsid w:val="1D725739"/>
    <w:rsid w:val="1D7A45EE"/>
    <w:rsid w:val="1D7E5E8C"/>
    <w:rsid w:val="1D9B6A3E"/>
    <w:rsid w:val="1DD261D8"/>
    <w:rsid w:val="1DD91315"/>
    <w:rsid w:val="1E23222D"/>
    <w:rsid w:val="1E2F7187"/>
    <w:rsid w:val="1E430E84"/>
    <w:rsid w:val="1E4F76E9"/>
    <w:rsid w:val="1E546BED"/>
    <w:rsid w:val="1E6C03DB"/>
    <w:rsid w:val="1E6D1634"/>
    <w:rsid w:val="1E937715"/>
    <w:rsid w:val="1EA2273F"/>
    <w:rsid w:val="1EBB0A1A"/>
    <w:rsid w:val="1EC4217D"/>
    <w:rsid w:val="1EF1268E"/>
    <w:rsid w:val="1F0B7BF4"/>
    <w:rsid w:val="1F1545CE"/>
    <w:rsid w:val="1F3A2287"/>
    <w:rsid w:val="1F464788"/>
    <w:rsid w:val="1F4A59B6"/>
    <w:rsid w:val="1F813A12"/>
    <w:rsid w:val="1FAD0CAB"/>
    <w:rsid w:val="1FB21E1D"/>
    <w:rsid w:val="1FBE07C2"/>
    <w:rsid w:val="1FBFE641"/>
    <w:rsid w:val="1FC724B4"/>
    <w:rsid w:val="1FD004F5"/>
    <w:rsid w:val="1FD96962"/>
    <w:rsid w:val="1FEB3581"/>
    <w:rsid w:val="1FED554B"/>
    <w:rsid w:val="1FEFABFA"/>
    <w:rsid w:val="1FF32FAA"/>
    <w:rsid w:val="20087111"/>
    <w:rsid w:val="20210D51"/>
    <w:rsid w:val="20280331"/>
    <w:rsid w:val="20436F19"/>
    <w:rsid w:val="205B24B5"/>
    <w:rsid w:val="207672EF"/>
    <w:rsid w:val="20B76E0E"/>
    <w:rsid w:val="20CB6718"/>
    <w:rsid w:val="20DA787E"/>
    <w:rsid w:val="20DB35F6"/>
    <w:rsid w:val="20F80959"/>
    <w:rsid w:val="210112AE"/>
    <w:rsid w:val="211B195F"/>
    <w:rsid w:val="213351E0"/>
    <w:rsid w:val="215A3511"/>
    <w:rsid w:val="217952E8"/>
    <w:rsid w:val="21834DD1"/>
    <w:rsid w:val="21921F06"/>
    <w:rsid w:val="219263AA"/>
    <w:rsid w:val="219F4623"/>
    <w:rsid w:val="21A1039B"/>
    <w:rsid w:val="21B06830"/>
    <w:rsid w:val="21D97B35"/>
    <w:rsid w:val="21DE15EF"/>
    <w:rsid w:val="21F42BC1"/>
    <w:rsid w:val="21F506E7"/>
    <w:rsid w:val="21FA7AAB"/>
    <w:rsid w:val="222114DC"/>
    <w:rsid w:val="22230DB0"/>
    <w:rsid w:val="222334A6"/>
    <w:rsid w:val="223034CD"/>
    <w:rsid w:val="224156DA"/>
    <w:rsid w:val="226715E5"/>
    <w:rsid w:val="22B42350"/>
    <w:rsid w:val="22CF718A"/>
    <w:rsid w:val="22DB5B2F"/>
    <w:rsid w:val="22E20C6B"/>
    <w:rsid w:val="22E36792"/>
    <w:rsid w:val="22E744D4"/>
    <w:rsid w:val="23411E36"/>
    <w:rsid w:val="23700025"/>
    <w:rsid w:val="238E2BA1"/>
    <w:rsid w:val="23931F66"/>
    <w:rsid w:val="23945EF7"/>
    <w:rsid w:val="23A1391D"/>
    <w:rsid w:val="23BA5216"/>
    <w:rsid w:val="23E80503"/>
    <w:rsid w:val="23FC71CF"/>
    <w:rsid w:val="24092228"/>
    <w:rsid w:val="241C1F5B"/>
    <w:rsid w:val="2455029F"/>
    <w:rsid w:val="24635DDC"/>
    <w:rsid w:val="246766F1"/>
    <w:rsid w:val="246B6A3F"/>
    <w:rsid w:val="24C525F3"/>
    <w:rsid w:val="24DD793C"/>
    <w:rsid w:val="24E32A79"/>
    <w:rsid w:val="252F1797"/>
    <w:rsid w:val="25341526"/>
    <w:rsid w:val="255676EF"/>
    <w:rsid w:val="25580EA7"/>
    <w:rsid w:val="25733DFD"/>
    <w:rsid w:val="257D2ECD"/>
    <w:rsid w:val="259A3A7F"/>
    <w:rsid w:val="25A42208"/>
    <w:rsid w:val="25A77F4A"/>
    <w:rsid w:val="25B61F3B"/>
    <w:rsid w:val="25EF71CB"/>
    <w:rsid w:val="25FD5DBC"/>
    <w:rsid w:val="26062EC3"/>
    <w:rsid w:val="265A6D6B"/>
    <w:rsid w:val="265C2AE3"/>
    <w:rsid w:val="268B161A"/>
    <w:rsid w:val="26A050C5"/>
    <w:rsid w:val="26AC3A6A"/>
    <w:rsid w:val="26C708A4"/>
    <w:rsid w:val="26D66D39"/>
    <w:rsid w:val="26E941BB"/>
    <w:rsid w:val="27165388"/>
    <w:rsid w:val="27363334"/>
    <w:rsid w:val="27391076"/>
    <w:rsid w:val="273B094A"/>
    <w:rsid w:val="274719E5"/>
    <w:rsid w:val="2767173F"/>
    <w:rsid w:val="27767BD4"/>
    <w:rsid w:val="277F4CDB"/>
    <w:rsid w:val="283830DC"/>
    <w:rsid w:val="28435545"/>
    <w:rsid w:val="284B72B3"/>
    <w:rsid w:val="28667C49"/>
    <w:rsid w:val="288B76AF"/>
    <w:rsid w:val="28A80261"/>
    <w:rsid w:val="28A807D4"/>
    <w:rsid w:val="28AB1AFF"/>
    <w:rsid w:val="28D70B46"/>
    <w:rsid w:val="28FC235B"/>
    <w:rsid w:val="290F208E"/>
    <w:rsid w:val="291678C1"/>
    <w:rsid w:val="293E2974"/>
    <w:rsid w:val="29430898"/>
    <w:rsid w:val="29473259"/>
    <w:rsid w:val="295108F9"/>
    <w:rsid w:val="29534671"/>
    <w:rsid w:val="295B5A84"/>
    <w:rsid w:val="295E3016"/>
    <w:rsid w:val="296543A4"/>
    <w:rsid w:val="29AB625B"/>
    <w:rsid w:val="29B50E88"/>
    <w:rsid w:val="29D42674"/>
    <w:rsid w:val="29D67050"/>
    <w:rsid w:val="29F80D74"/>
    <w:rsid w:val="2A187669"/>
    <w:rsid w:val="2A27165A"/>
    <w:rsid w:val="2A510485"/>
    <w:rsid w:val="2A557F75"/>
    <w:rsid w:val="2A622692"/>
    <w:rsid w:val="2A97233B"/>
    <w:rsid w:val="2AAB5DE7"/>
    <w:rsid w:val="2ABE3D6C"/>
    <w:rsid w:val="2ACB6489"/>
    <w:rsid w:val="2AF92FF6"/>
    <w:rsid w:val="2B136D58"/>
    <w:rsid w:val="2B2F4C6A"/>
    <w:rsid w:val="2B365FF8"/>
    <w:rsid w:val="2B3B360F"/>
    <w:rsid w:val="2B42499D"/>
    <w:rsid w:val="2B4D50F0"/>
    <w:rsid w:val="2B626DED"/>
    <w:rsid w:val="2B65068C"/>
    <w:rsid w:val="2B842931"/>
    <w:rsid w:val="2B944ACD"/>
    <w:rsid w:val="2BB8608A"/>
    <w:rsid w:val="2BCC4267"/>
    <w:rsid w:val="2C4958B7"/>
    <w:rsid w:val="2C512191"/>
    <w:rsid w:val="2C624BCB"/>
    <w:rsid w:val="2C792640"/>
    <w:rsid w:val="2C9A6113"/>
    <w:rsid w:val="2CB216AE"/>
    <w:rsid w:val="2CF27CFD"/>
    <w:rsid w:val="2CFB12A7"/>
    <w:rsid w:val="2CFC0B7C"/>
    <w:rsid w:val="2D0068BE"/>
    <w:rsid w:val="2D340315"/>
    <w:rsid w:val="2D4F15F3"/>
    <w:rsid w:val="2D634DB0"/>
    <w:rsid w:val="2D9C5EBB"/>
    <w:rsid w:val="2DA01E4F"/>
    <w:rsid w:val="2DA51213"/>
    <w:rsid w:val="2DC93154"/>
    <w:rsid w:val="2DCF44E2"/>
    <w:rsid w:val="2E0174C4"/>
    <w:rsid w:val="2E1D6FFC"/>
    <w:rsid w:val="2E1E4B22"/>
    <w:rsid w:val="2E426A62"/>
    <w:rsid w:val="2E682FCF"/>
    <w:rsid w:val="2E933762"/>
    <w:rsid w:val="2E9F7CAC"/>
    <w:rsid w:val="2EAB4607"/>
    <w:rsid w:val="2EB45BB2"/>
    <w:rsid w:val="2ECA1C0B"/>
    <w:rsid w:val="2ED26038"/>
    <w:rsid w:val="2EFE3E42"/>
    <w:rsid w:val="2F0401BB"/>
    <w:rsid w:val="2F1E127D"/>
    <w:rsid w:val="2F411E6B"/>
    <w:rsid w:val="2F486363"/>
    <w:rsid w:val="2FD14541"/>
    <w:rsid w:val="2FDB53C0"/>
    <w:rsid w:val="2FFD5337"/>
    <w:rsid w:val="30004E27"/>
    <w:rsid w:val="3002294D"/>
    <w:rsid w:val="30415FA8"/>
    <w:rsid w:val="308570DA"/>
    <w:rsid w:val="309317F7"/>
    <w:rsid w:val="309C68FD"/>
    <w:rsid w:val="30B05F05"/>
    <w:rsid w:val="30CE0301"/>
    <w:rsid w:val="31010E56"/>
    <w:rsid w:val="31163769"/>
    <w:rsid w:val="312D57A8"/>
    <w:rsid w:val="3139239E"/>
    <w:rsid w:val="31593BC6"/>
    <w:rsid w:val="316B62D0"/>
    <w:rsid w:val="3172765E"/>
    <w:rsid w:val="31A737AC"/>
    <w:rsid w:val="31E00A6C"/>
    <w:rsid w:val="320C28C0"/>
    <w:rsid w:val="320F4EAD"/>
    <w:rsid w:val="32130E41"/>
    <w:rsid w:val="326A2A2B"/>
    <w:rsid w:val="327613D0"/>
    <w:rsid w:val="327F1267"/>
    <w:rsid w:val="32A509BB"/>
    <w:rsid w:val="32A93554"/>
    <w:rsid w:val="32B36180"/>
    <w:rsid w:val="32C04CBB"/>
    <w:rsid w:val="32C91500"/>
    <w:rsid w:val="32E12CEE"/>
    <w:rsid w:val="32F3657D"/>
    <w:rsid w:val="3321133C"/>
    <w:rsid w:val="332901F1"/>
    <w:rsid w:val="333077D1"/>
    <w:rsid w:val="333A41AC"/>
    <w:rsid w:val="339733AC"/>
    <w:rsid w:val="33B26438"/>
    <w:rsid w:val="33C00B55"/>
    <w:rsid w:val="33C30645"/>
    <w:rsid w:val="33C543BD"/>
    <w:rsid w:val="33DB773D"/>
    <w:rsid w:val="33E52369"/>
    <w:rsid w:val="33F627C9"/>
    <w:rsid w:val="33F702EF"/>
    <w:rsid w:val="34563267"/>
    <w:rsid w:val="346C2A8B"/>
    <w:rsid w:val="348C0A37"/>
    <w:rsid w:val="34900014"/>
    <w:rsid w:val="349D2C44"/>
    <w:rsid w:val="34A75871"/>
    <w:rsid w:val="34C33809"/>
    <w:rsid w:val="34DF500B"/>
    <w:rsid w:val="34EB1C02"/>
    <w:rsid w:val="350E3B42"/>
    <w:rsid w:val="3511718E"/>
    <w:rsid w:val="35245113"/>
    <w:rsid w:val="35325A82"/>
    <w:rsid w:val="35416543"/>
    <w:rsid w:val="35645510"/>
    <w:rsid w:val="357070B5"/>
    <w:rsid w:val="35747E49"/>
    <w:rsid w:val="35973B37"/>
    <w:rsid w:val="35977693"/>
    <w:rsid w:val="35BF6BEA"/>
    <w:rsid w:val="35F92264"/>
    <w:rsid w:val="361B0F90"/>
    <w:rsid w:val="36AD2EE7"/>
    <w:rsid w:val="36B44275"/>
    <w:rsid w:val="36D87F64"/>
    <w:rsid w:val="36E40CBB"/>
    <w:rsid w:val="36EB413B"/>
    <w:rsid w:val="36F6488E"/>
    <w:rsid w:val="37042DCD"/>
    <w:rsid w:val="37180CA8"/>
    <w:rsid w:val="379876F3"/>
    <w:rsid w:val="37B50042"/>
    <w:rsid w:val="37CB7AC8"/>
    <w:rsid w:val="37D01583"/>
    <w:rsid w:val="37D20E57"/>
    <w:rsid w:val="37ED07FF"/>
    <w:rsid w:val="37ED7A3F"/>
    <w:rsid w:val="381C20D2"/>
    <w:rsid w:val="383B186D"/>
    <w:rsid w:val="383E029A"/>
    <w:rsid w:val="386677F1"/>
    <w:rsid w:val="386A72E1"/>
    <w:rsid w:val="387B14EE"/>
    <w:rsid w:val="388365F5"/>
    <w:rsid w:val="388C54AA"/>
    <w:rsid w:val="38AC16A8"/>
    <w:rsid w:val="38B62526"/>
    <w:rsid w:val="38B7004D"/>
    <w:rsid w:val="38BB7B3D"/>
    <w:rsid w:val="38CA4224"/>
    <w:rsid w:val="38CA5FD2"/>
    <w:rsid w:val="38DB1F8D"/>
    <w:rsid w:val="38E42223"/>
    <w:rsid w:val="38E5105E"/>
    <w:rsid w:val="3922196A"/>
    <w:rsid w:val="393D2C48"/>
    <w:rsid w:val="39522F81"/>
    <w:rsid w:val="39663F4D"/>
    <w:rsid w:val="39671A73"/>
    <w:rsid w:val="39783C80"/>
    <w:rsid w:val="39913B0D"/>
    <w:rsid w:val="39A82234"/>
    <w:rsid w:val="39BA7DF4"/>
    <w:rsid w:val="39E430C3"/>
    <w:rsid w:val="3A001A6D"/>
    <w:rsid w:val="3A172BC8"/>
    <w:rsid w:val="3A3F02FA"/>
    <w:rsid w:val="3A414072"/>
    <w:rsid w:val="3A4678DA"/>
    <w:rsid w:val="3A6366DE"/>
    <w:rsid w:val="3AA12D62"/>
    <w:rsid w:val="3AC52EF5"/>
    <w:rsid w:val="3ACB1E7C"/>
    <w:rsid w:val="3AE710BD"/>
    <w:rsid w:val="3AE72E6B"/>
    <w:rsid w:val="3AF47336"/>
    <w:rsid w:val="3AFB0BAF"/>
    <w:rsid w:val="3B07350D"/>
    <w:rsid w:val="3B087D7B"/>
    <w:rsid w:val="3B273268"/>
    <w:rsid w:val="3B286FE0"/>
    <w:rsid w:val="3B2C06F9"/>
    <w:rsid w:val="3B6B3A9C"/>
    <w:rsid w:val="3B842468"/>
    <w:rsid w:val="3B944458"/>
    <w:rsid w:val="3BB32D4D"/>
    <w:rsid w:val="3BBF0FB1"/>
    <w:rsid w:val="3C21305B"/>
    <w:rsid w:val="3C940DD1"/>
    <w:rsid w:val="3C9C5ED7"/>
    <w:rsid w:val="3CBE19AA"/>
    <w:rsid w:val="3CCA47F2"/>
    <w:rsid w:val="3CF33D49"/>
    <w:rsid w:val="3D313175"/>
    <w:rsid w:val="3D314871"/>
    <w:rsid w:val="3D4445A5"/>
    <w:rsid w:val="3D540560"/>
    <w:rsid w:val="3D581DFE"/>
    <w:rsid w:val="3D7F55DD"/>
    <w:rsid w:val="3D8E3A72"/>
    <w:rsid w:val="3DAE7C70"/>
    <w:rsid w:val="3DAF5796"/>
    <w:rsid w:val="3DCEC21D"/>
    <w:rsid w:val="3DFA4C63"/>
    <w:rsid w:val="3DFD6502"/>
    <w:rsid w:val="3E0930F8"/>
    <w:rsid w:val="3E412892"/>
    <w:rsid w:val="3E742C68"/>
    <w:rsid w:val="3E7569E0"/>
    <w:rsid w:val="3EB63280"/>
    <w:rsid w:val="3EC3774B"/>
    <w:rsid w:val="3ED951C1"/>
    <w:rsid w:val="3EEB27FE"/>
    <w:rsid w:val="3EEC4EF4"/>
    <w:rsid w:val="3EF822B5"/>
    <w:rsid w:val="3EFB0C93"/>
    <w:rsid w:val="3F057D64"/>
    <w:rsid w:val="3F171845"/>
    <w:rsid w:val="3F494031"/>
    <w:rsid w:val="3F516B05"/>
    <w:rsid w:val="3F584337"/>
    <w:rsid w:val="3F591E5E"/>
    <w:rsid w:val="3F980BD8"/>
    <w:rsid w:val="3F9E745B"/>
    <w:rsid w:val="3FC215BC"/>
    <w:rsid w:val="3FC90D91"/>
    <w:rsid w:val="3FDFC207"/>
    <w:rsid w:val="3FEB51AC"/>
    <w:rsid w:val="3FFB2F15"/>
    <w:rsid w:val="3FFF2A05"/>
    <w:rsid w:val="403A3A3D"/>
    <w:rsid w:val="40460634"/>
    <w:rsid w:val="406665E0"/>
    <w:rsid w:val="4081341A"/>
    <w:rsid w:val="40B27A77"/>
    <w:rsid w:val="40DB5220"/>
    <w:rsid w:val="40DC68A2"/>
    <w:rsid w:val="40F462E2"/>
    <w:rsid w:val="41395AA3"/>
    <w:rsid w:val="414803DC"/>
    <w:rsid w:val="417F1AD2"/>
    <w:rsid w:val="41850CE8"/>
    <w:rsid w:val="41A27AEC"/>
    <w:rsid w:val="42097B6B"/>
    <w:rsid w:val="42154762"/>
    <w:rsid w:val="421B164C"/>
    <w:rsid w:val="42224789"/>
    <w:rsid w:val="424741EF"/>
    <w:rsid w:val="42507548"/>
    <w:rsid w:val="42530593"/>
    <w:rsid w:val="42613503"/>
    <w:rsid w:val="429C09DF"/>
    <w:rsid w:val="42C45840"/>
    <w:rsid w:val="42D735B6"/>
    <w:rsid w:val="42E163F2"/>
    <w:rsid w:val="42E6622B"/>
    <w:rsid w:val="43234C5C"/>
    <w:rsid w:val="43236A0A"/>
    <w:rsid w:val="432B1D63"/>
    <w:rsid w:val="4340181D"/>
    <w:rsid w:val="437E5696"/>
    <w:rsid w:val="439714AA"/>
    <w:rsid w:val="43B14016"/>
    <w:rsid w:val="43C854E1"/>
    <w:rsid w:val="44136A7F"/>
    <w:rsid w:val="445F1CC4"/>
    <w:rsid w:val="447C0AC8"/>
    <w:rsid w:val="447D214A"/>
    <w:rsid w:val="44AE0556"/>
    <w:rsid w:val="44DE3F75"/>
    <w:rsid w:val="44E65F41"/>
    <w:rsid w:val="44F87A23"/>
    <w:rsid w:val="45303661"/>
    <w:rsid w:val="4537679D"/>
    <w:rsid w:val="453C2005"/>
    <w:rsid w:val="4541586E"/>
    <w:rsid w:val="45637592"/>
    <w:rsid w:val="45921C25"/>
    <w:rsid w:val="459A40A5"/>
    <w:rsid w:val="45A100BA"/>
    <w:rsid w:val="45AB2CE7"/>
    <w:rsid w:val="45CB3359"/>
    <w:rsid w:val="45CD7101"/>
    <w:rsid w:val="45EA1A61"/>
    <w:rsid w:val="45F96148"/>
    <w:rsid w:val="460C7C2A"/>
    <w:rsid w:val="460D74FE"/>
    <w:rsid w:val="46306A99"/>
    <w:rsid w:val="463827CD"/>
    <w:rsid w:val="463D6035"/>
    <w:rsid w:val="46935C55"/>
    <w:rsid w:val="469A6150"/>
    <w:rsid w:val="46A77952"/>
    <w:rsid w:val="46C71DA3"/>
    <w:rsid w:val="46CF1EB2"/>
    <w:rsid w:val="46D7346B"/>
    <w:rsid w:val="46FC1A4C"/>
    <w:rsid w:val="47044DA5"/>
    <w:rsid w:val="470B1C8F"/>
    <w:rsid w:val="47174AD8"/>
    <w:rsid w:val="47413903"/>
    <w:rsid w:val="475C2237"/>
    <w:rsid w:val="475C24EB"/>
    <w:rsid w:val="477C493B"/>
    <w:rsid w:val="47811F51"/>
    <w:rsid w:val="4792415F"/>
    <w:rsid w:val="47AF6ABF"/>
    <w:rsid w:val="47BB1907"/>
    <w:rsid w:val="47E02664"/>
    <w:rsid w:val="47E349BA"/>
    <w:rsid w:val="47EA3F9B"/>
    <w:rsid w:val="47F941DE"/>
    <w:rsid w:val="480908C5"/>
    <w:rsid w:val="48403BBB"/>
    <w:rsid w:val="489D100D"/>
    <w:rsid w:val="48B63E7D"/>
    <w:rsid w:val="48D52555"/>
    <w:rsid w:val="49153299"/>
    <w:rsid w:val="49155047"/>
    <w:rsid w:val="49156DF5"/>
    <w:rsid w:val="494B6CBB"/>
    <w:rsid w:val="495518E8"/>
    <w:rsid w:val="49583186"/>
    <w:rsid w:val="495E69EE"/>
    <w:rsid w:val="49731D6E"/>
    <w:rsid w:val="498D72D3"/>
    <w:rsid w:val="499F1387"/>
    <w:rsid w:val="49A563CB"/>
    <w:rsid w:val="49BE56DF"/>
    <w:rsid w:val="49BE748D"/>
    <w:rsid w:val="49EC3FFA"/>
    <w:rsid w:val="4A2A68D0"/>
    <w:rsid w:val="4A2F6CDA"/>
    <w:rsid w:val="4A3B6D2F"/>
    <w:rsid w:val="4A421E6C"/>
    <w:rsid w:val="4A633B90"/>
    <w:rsid w:val="4A655B5A"/>
    <w:rsid w:val="4A6F69D9"/>
    <w:rsid w:val="4A8E6E5F"/>
    <w:rsid w:val="4AB038B7"/>
    <w:rsid w:val="4AC41647"/>
    <w:rsid w:val="4ACE54AE"/>
    <w:rsid w:val="4ACF2D15"/>
    <w:rsid w:val="4B663938"/>
    <w:rsid w:val="4B767D50"/>
    <w:rsid w:val="4B7F0E9E"/>
    <w:rsid w:val="4BA34B8C"/>
    <w:rsid w:val="4BCE772F"/>
    <w:rsid w:val="4BD74836"/>
    <w:rsid w:val="4BF76C86"/>
    <w:rsid w:val="4C0118B3"/>
    <w:rsid w:val="4C431ECB"/>
    <w:rsid w:val="4C63431C"/>
    <w:rsid w:val="4C885B30"/>
    <w:rsid w:val="4C982217"/>
    <w:rsid w:val="4CB93F3C"/>
    <w:rsid w:val="4CE71240"/>
    <w:rsid w:val="4CEC4311"/>
    <w:rsid w:val="4CF03E01"/>
    <w:rsid w:val="4CF60CEC"/>
    <w:rsid w:val="4CF80F08"/>
    <w:rsid w:val="4CFB26C0"/>
    <w:rsid w:val="4D622825"/>
    <w:rsid w:val="4D76730F"/>
    <w:rsid w:val="4D9D385D"/>
    <w:rsid w:val="4DC53B8F"/>
    <w:rsid w:val="4DDA72CC"/>
    <w:rsid w:val="4DDE00FE"/>
    <w:rsid w:val="4DF0398D"/>
    <w:rsid w:val="4DFA480C"/>
    <w:rsid w:val="4E03746F"/>
    <w:rsid w:val="4E3917D8"/>
    <w:rsid w:val="4E593C28"/>
    <w:rsid w:val="4E726A98"/>
    <w:rsid w:val="4E7445BE"/>
    <w:rsid w:val="4E810A89"/>
    <w:rsid w:val="4E8642F1"/>
    <w:rsid w:val="4EC015B1"/>
    <w:rsid w:val="4EC372F3"/>
    <w:rsid w:val="4ECF5C98"/>
    <w:rsid w:val="4F013607"/>
    <w:rsid w:val="4F1162B1"/>
    <w:rsid w:val="4F304989"/>
    <w:rsid w:val="4F365D17"/>
    <w:rsid w:val="4F3F683D"/>
    <w:rsid w:val="4F416B96"/>
    <w:rsid w:val="4F5A1A06"/>
    <w:rsid w:val="4F6E3703"/>
    <w:rsid w:val="4FA42C81"/>
    <w:rsid w:val="4FB85A78"/>
    <w:rsid w:val="4FCB6460"/>
    <w:rsid w:val="4FD709B8"/>
    <w:rsid w:val="4FE90FDC"/>
    <w:rsid w:val="4FF660A2"/>
    <w:rsid w:val="50377F99"/>
    <w:rsid w:val="50681F00"/>
    <w:rsid w:val="506863A4"/>
    <w:rsid w:val="507D4F01"/>
    <w:rsid w:val="5099655E"/>
    <w:rsid w:val="50A82C45"/>
    <w:rsid w:val="50AF18DD"/>
    <w:rsid w:val="50B138A7"/>
    <w:rsid w:val="50DD28EE"/>
    <w:rsid w:val="50DE55E7"/>
    <w:rsid w:val="510D4856"/>
    <w:rsid w:val="514A5AAA"/>
    <w:rsid w:val="514B49AA"/>
    <w:rsid w:val="514F4E6E"/>
    <w:rsid w:val="51505DC3"/>
    <w:rsid w:val="51736DAF"/>
    <w:rsid w:val="517A013D"/>
    <w:rsid w:val="51870AAC"/>
    <w:rsid w:val="519F1952"/>
    <w:rsid w:val="51E41A5B"/>
    <w:rsid w:val="51FE0D6E"/>
    <w:rsid w:val="520B5239"/>
    <w:rsid w:val="52214A5D"/>
    <w:rsid w:val="52350508"/>
    <w:rsid w:val="52472FB7"/>
    <w:rsid w:val="52493D5C"/>
    <w:rsid w:val="52656540"/>
    <w:rsid w:val="52B14033"/>
    <w:rsid w:val="52D47D21"/>
    <w:rsid w:val="52FD636E"/>
    <w:rsid w:val="53034162"/>
    <w:rsid w:val="530879CB"/>
    <w:rsid w:val="530C3017"/>
    <w:rsid w:val="53360094"/>
    <w:rsid w:val="533662E6"/>
    <w:rsid w:val="533E33EC"/>
    <w:rsid w:val="536015B5"/>
    <w:rsid w:val="537961D3"/>
    <w:rsid w:val="53A25729"/>
    <w:rsid w:val="53B042EA"/>
    <w:rsid w:val="53EB5322"/>
    <w:rsid w:val="53F713E7"/>
    <w:rsid w:val="54016A44"/>
    <w:rsid w:val="540E7263"/>
    <w:rsid w:val="542720D3"/>
    <w:rsid w:val="543A3BB4"/>
    <w:rsid w:val="5462766E"/>
    <w:rsid w:val="54694499"/>
    <w:rsid w:val="547215A0"/>
    <w:rsid w:val="549A3417"/>
    <w:rsid w:val="54FE3D6F"/>
    <w:rsid w:val="5503044A"/>
    <w:rsid w:val="553700F3"/>
    <w:rsid w:val="55432F3C"/>
    <w:rsid w:val="5587107B"/>
    <w:rsid w:val="55AA7FF4"/>
    <w:rsid w:val="55AC288F"/>
    <w:rsid w:val="55B31E70"/>
    <w:rsid w:val="55BA1450"/>
    <w:rsid w:val="55D43B94"/>
    <w:rsid w:val="55F66200"/>
    <w:rsid w:val="56095F34"/>
    <w:rsid w:val="562E14F6"/>
    <w:rsid w:val="56312D95"/>
    <w:rsid w:val="56574EF1"/>
    <w:rsid w:val="565E627F"/>
    <w:rsid w:val="56705FB3"/>
    <w:rsid w:val="56A57230"/>
    <w:rsid w:val="56A874FB"/>
    <w:rsid w:val="57082774"/>
    <w:rsid w:val="570B0987"/>
    <w:rsid w:val="572D17AE"/>
    <w:rsid w:val="573B493D"/>
    <w:rsid w:val="575C02E5"/>
    <w:rsid w:val="575D6537"/>
    <w:rsid w:val="57623B4D"/>
    <w:rsid w:val="576378C6"/>
    <w:rsid w:val="57713D91"/>
    <w:rsid w:val="577218B7"/>
    <w:rsid w:val="57CD39B0"/>
    <w:rsid w:val="57D4431F"/>
    <w:rsid w:val="580B5F93"/>
    <w:rsid w:val="580F7106"/>
    <w:rsid w:val="58164938"/>
    <w:rsid w:val="58345ED3"/>
    <w:rsid w:val="587F764C"/>
    <w:rsid w:val="58B33F35"/>
    <w:rsid w:val="58B54151"/>
    <w:rsid w:val="58E10F36"/>
    <w:rsid w:val="58F509F1"/>
    <w:rsid w:val="58FC6D00"/>
    <w:rsid w:val="590D1897"/>
    <w:rsid w:val="590F1AB3"/>
    <w:rsid w:val="59232E69"/>
    <w:rsid w:val="593B28A8"/>
    <w:rsid w:val="594554D5"/>
    <w:rsid w:val="59965D30"/>
    <w:rsid w:val="59984A4A"/>
    <w:rsid w:val="59A0095D"/>
    <w:rsid w:val="59B9276E"/>
    <w:rsid w:val="59C06909"/>
    <w:rsid w:val="59C53F20"/>
    <w:rsid w:val="59D46859"/>
    <w:rsid w:val="59E24AD2"/>
    <w:rsid w:val="59F82547"/>
    <w:rsid w:val="59FF7DE6"/>
    <w:rsid w:val="5A0802B0"/>
    <w:rsid w:val="5A292701"/>
    <w:rsid w:val="5A494B51"/>
    <w:rsid w:val="5A5A6D5E"/>
    <w:rsid w:val="5A89319F"/>
    <w:rsid w:val="5B0311A3"/>
    <w:rsid w:val="5B1F58B2"/>
    <w:rsid w:val="5B590DC3"/>
    <w:rsid w:val="5B6E7448"/>
    <w:rsid w:val="5B81031A"/>
    <w:rsid w:val="5B977B3E"/>
    <w:rsid w:val="5BA30314"/>
    <w:rsid w:val="5BBA55DA"/>
    <w:rsid w:val="5BEC7E8A"/>
    <w:rsid w:val="5BF64864"/>
    <w:rsid w:val="5BF8682E"/>
    <w:rsid w:val="5BFE196B"/>
    <w:rsid w:val="5C115B42"/>
    <w:rsid w:val="5C142F3C"/>
    <w:rsid w:val="5C390BF5"/>
    <w:rsid w:val="5C3929A3"/>
    <w:rsid w:val="5C3B2BBF"/>
    <w:rsid w:val="5C4A4BB0"/>
    <w:rsid w:val="5C4E28F2"/>
    <w:rsid w:val="5C642116"/>
    <w:rsid w:val="5C6C2D78"/>
    <w:rsid w:val="5C761E49"/>
    <w:rsid w:val="5C875E04"/>
    <w:rsid w:val="5C9FD866"/>
    <w:rsid w:val="5CA2679A"/>
    <w:rsid w:val="5CA93FCD"/>
    <w:rsid w:val="5CFA4828"/>
    <w:rsid w:val="5D347D3A"/>
    <w:rsid w:val="5D3F048D"/>
    <w:rsid w:val="5D5C2DED"/>
    <w:rsid w:val="5D704AEA"/>
    <w:rsid w:val="5DAD3649"/>
    <w:rsid w:val="5DB03139"/>
    <w:rsid w:val="5DC34C1A"/>
    <w:rsid w:val="5DC56BE4"/>
    <w:rsid w:val="5DCA244C"/>
    <w:rsid w:val="5DDC3F2E"/>
    <w:rsid w:val="5DE03A1E"/>
    <w:rsid w:val="5DEF1EB3"/>
    <w:rsid w:val="5DFB0858"/>
    <w:rsid w:val="5E057603"/>
    <w:rsid w:val="5E135BA1"/>
    <w:rsid w:val="5E31427A"/>
    <w:rsid w:val="5E337FF2"/>
    <w:rsid w:val="5E541D16"/>
    <w:rsid w:val="5E8A398A"/>
    <w:rsid w:val="5E9071F2"/>
    <w:rsid w:val="5EA05CA3"/>
    <w:rsid w:val="5EB24AE2"/>
    <w:rsid w:val="5ED510A9"/>
    <w:rsid w:val="5ED6097D"/>
    <w:rsid w:val="5F0C25F1"/>
    <w:rsid w:val="5F88216E"/>
    <w:rsid w:val="5FBA3DFB"/>
    <w:rsid w:val="5FE01AB3"/>
    <w:rsid w:val="6008725C"/>
    <w:rsid w:val="60194FC5"/>
    <w:rsid w:val="603E4A2C"/>
    <w:rsid w:val="60635F68"/>
    <w:rsid w:val="6076125C"/>
    <w:rsid w:val="6089214B"/>
    <w:rsid w:val="60C95281"/>
    <w:rsid w:val="60E27AAD"/>
    <w:rsid w:val="6106379C"/>
    <w:rsid w:val="61151C31"/>
    <w:rsid w:val="614222FA"/>
    <w:rsid w:val="61630980"/>
    <w:rsid w:val="616510F6"/>
    <w:rsid w:val="61A11716"/>
    <w:rsid w:val="61CE780E"/>
    <w:rsid w:val="61CF5DA0"/>
    <w:rsid w:val="61E909C7"/>
    <w:rsid w:val="621243C2"/>
    <w:rsid w:val="621E47AB"/>
    <w:rsid w:val="622814F0"/>
    <w:rsid w:val="622A170C"/>
    <w:rsid w:val="622A5268"/>
    <w:rsid w:val="623460E6"/>
    <w:rsid w:val="623E0D13"/>
    <w:rsid w:val="624327CD"/>
    <w:rsid w:val="628F5A13"/>
    <w:rsid w:val="628F77C1"/>
    <w:rsid w:val="629B6165"/>
    <w:rsid w:val="62A3326C"/>
    <w:rsid w:val="62D376AD"/>
    <w:rsid w:val="631B4949"/>
    <w:rsid w:val="63260125"/>
    <w:rsid w:val="633640E0"/>
    <w:rsid w:val="63493E13"/>
    <w:rsid w:val="63691DC0"/>
    <w:rsid w:val="636B3D8A"/>
    <w:rsid w:val="63B84AF5"/>
    <w:rsid w:val="63CE4319"/>
    <w:rsid w:val="63F26259"/>
    <w:rsid w:val="643E324C"/>
    <w:rsid w:val="643E4870"/>
    <w:rsid w:val="64446389"/>
    <w:rsid w:val="646F1658"/>
    <w:rsid w:val="64721148"/>
    <w:rsid w:val="6472739A"/>
    <w:rsid w:val="64744EC0"/>
    <w:rsid w:val="64B67287"/>
    <w:rsid w:val="64DF4A2F"/>
    <w:rsid w:val="64E8140A"/>
    <w:rsid w:val="64EA6F30"/>
    <w:rsid w:val="65271F32"/>
    <w:rsid w:val="659A0956"/>
    <w:rsid w:val="65A96DEB"/>
    <w:rsid w:val="66285F62"/>
    <w:rsid w:val="66434942"/>
    <w:rsid w:val="66540B05"/>
    <w:rsid w:val="66687F7A"/>
    <w:rsid w:val="6679056C"/>
    <w:rsid w:val="6680153D"/>
    <w:rsid w:val="671771FC"/>
    <w:rsid w:val="67220C03"/>
    <w:rsid w:val="674F191F"/>
    <w:rsid w:val="67566AFF"/>
    <w:rsid w:val="677551D7"/>
    <w:rsid w:val="677F7E04"/>
    <w:rsid w:val="677FD51A"/>
    <w:rsid w:val="6787315C"/>
    <w:rsid w:val="67896ED4"/>
    <w:rsid w:val="678D99CB"/>
    <w:rsid w:val="67957627"/>
    <w:rsid w:val="67A27F96"/>
    <w:rsid w:val="67A4786A"/>
    <w:rsid w:val="67BD6B7E"/>
    <w:rsid w:val="67D268C5"/>
    <w:rsid w:val="67E45EB9"/>
    <w:rsid w:val="67F0485E"/>
    <w:rsid w:val="67F73E3E"/>
    <w:rsid w:val="68541290"/>
    <w:rsid w:val="686314D3"/>
    <w:rsid w:val="68646FFA"/>
    <w:rsid w:val="689D4368"/>
    <w:rsid w:val="68DC4DE2"/>
    <w:rsid w:val="68EA008D"/>
    <w:rsid w:val="69076303"/>
    <w:rsid w:val="69146C72"/>
    <w:rsid w:val="69196036"/>
    <w:rsid w:val="693410C2"/>
    <w:rsid w:val="693764BC"/>
    <w:rsid w:val="69454A7B"/>
    <w:rsid w:val="695B664F"/>
    <w:rsid w:val="696A4AE4"/>
    <w:rsid w:val="69782D5D"/>
    <w:rsid w:val="698E2580"/>
    <w:rsid w:val="69935DE8"/>
    <w:rsid w:val="699833FF"/>
    <w:rsid w:val="69A2427D"/>
    <w:rsid w:val="69AC2A06"/>
    <w:rsid w:val="69F148BD"/>
    <w:rsid w:val="6A162576"/>
    <w:rsid w:val="6A4964A7"/>
    <w:rsid w:val="6A4D41E9"/>
    <w:rsid w:val="6A5A4B58"/>
    <w:rsid w:val="6A615EE7"/>
    <w:rsid w:val="6A8B6AC0"/>
    <w:rsid w:val="6A902328"/>
    <w:rsid w:val="6A99742E"/>
    <w:rsid w:val="6AA81290"/>
    <w:rsid w:val="6AD761A9"/>
    <w:rsid w:val="6AFC79BD"/>
    <w:rsid w:val="6B0D1BCA"/>
    <w:rsid w:val="6B2A2C04"/>
    <w:rsid w:val="6B453112"/>
    <w:rsid w:val="6B560E7C"/>
    <w:rsid w:val="6B6712DB"/>
    <w:rsid w:val="6B7439F8"/>
    <w:rsid w:val="6B9B2D32"/>
    <w:rsid w:val="6BA047ED"/>
    <w:rsid w:val="6BB17EB1"/>
    <w:rsid w:val="6BC8498C"/>
    <w:rsid w:val="6BD36970"/>
    <w:rsid w:val="6BFF1513"/>
    <w:rsid w:val="6C021003"/>
    <w:rsid w:val="6C022DB1"/>
    <w:rsid w:val="6C411B2C"/>
    <w:rsid w:val="6C465394"/>
    <w:rsid w:val="6C77554D"/>
    <w:rsid w:val="6C832144"/>
    <w:rsid w:val="6C895281"/>
    <w:rsid w:val="6CA4030D"/>
    <w:rsid w:val="6CDC7AA6"/>
    <w:rsid w:val="6CE626D3"/>
    <w:rsid w:val="6D033285"/>
    <w:rsid w:val="6D0668D1"/>
    <w:rsid w:val="6D262AD0"/>
    <w:rsid w:val="6D2D3E5E"/>
    <w:rsid w:val="6D3E606B"/>
    <w:rsid w:val="6D604233"/>
    <w:rsid w:val="6D765805"/>
    <w:rsid w:val="6D82495B"/>
    <w:rsid w:val="6DA40673"/>
    <w:rsid w:val="6DC5678C"/>
    <w:rsid w:val="6DC56E14"/>
    <w:rsid w:val="6DCE5641"/>
    <w:rsid w:val="6DEC1F6B"/>
    <w:rsid w:val="6E070B53"/>
    <w:rsid w:val="6E2C20FC"/>
    <w:rsid w:val="6E31797E"/>
    <w:rsid w:val="6E62222D"/>
    <w:rsid w:val="6E625D89"/>
    <w:rsid w:val="6E7B6E4B"/>
    <w:rsid w:val="6E8201DA"/>
    <w:rsid w:val="6E8F41AA"/>
    <w:rsid w:val="6E9C74ED"/>
    <w:rsid w:val="6EF530A1"/>
    <w:rsid w:val="6F435BBB"/>
    <w:rsid w:val="6F51652A"/>
    <w:rsid w:val="6F6618A9"/>
    <w:rsid w:val="6F6D24E7"/>
    <w:rsid w:val="6F9208F0"/>
    <w:rsid w:val="6F9349A3"/>
    <w:rsid w:val="6FA06B69"/>
    <w:rsid w:val="6FA348AB"/>
    <w:rsid w:val="6FA50623"/>
    <w:rsid w:val="6FAF836D"/>
    <w:rsid w:val="6FD26F3F"/>
    <w:rsid w:val="6FE657FA"/>
    <w:rsid w:val="701A2DBF"/>
    <w:rsid w:val="704936A5"/>
    <w:rsid w:val="70661C93"/>
    <w:rsid w:val="70687184"/>
    <w:rsid w:val="707B1384"/>
    <w:rsid w:val="70DA60AB"/>
    <w:rsid w:val="70E41C98"/>
    <w:rsid w:val="70E60EF4"/>
    <w:rsid w:val="7114547A"/>
    <w:rsid w:val="711A294B"/>
    <w:rsid w:val="713559D7"/>
    <w:rsid w:val="714D4ACF"/>
    <w:rsid w:val="71665B90"/>
    <w:rsid w:val="71744751"/>
    <w:rsid w:val="717604C9"/>
    <w:rsid w:val="717FA565"/>
    <w:rsid w:val="718304F0"/>
    <w:rsid w:val="71AD37BF"/>
    <w:rsid w:val="71C163A8"/>
    <w:rsid w:val="71E116BB"/>
    <w:rsid w:val="71E13469"/>
    <w:rsid w:val="71E573FD"/>
    <w:rsid w:val="721750DD"/>
    <w:rsid w:val="721970A7"/>
    <w:rsid w:val="7231619E"/>
    <w:rsid w:val="724F4877"/>
    <w:rsid w:val="725400DF"/>
    <w:rsid w:val="72604CD6"/>
    <w:rsid w:val="726A7902"/>
    <w:rsid w:val="72C47013"/>
    <w:rsid w:val="72C53404"/>
    <w:rsid w:val="72FD2525"/>
    <w:rsid w:val="73027B3B"/>
    <w:rsid w:val="730D09BA"/>
    <w:rsid w:val="73111B9A"/>
    <w:rsid w:val="73137F9A"/>
    <w:rsid w:val="73165394"/>
    <w:rsid w:val="732D4BB8"/>
    <w:rsid w:val="73412411"/>
    <w:rsid w:val="734737A0"/>
    <w:rsid w:val="735C549D"/>
    <w:rsid w:val="735F6D3B"/>
    <w:rsid w:val="736A5E0C"/>
    <w:rsid w:val="73A476F0"/>
    <w:rsid w:val="73AD5CF9"/>
    <w:rsid w:val="73BF77DA"/>
    <w:rsid w:val="73C6500C"/>
    <w:rsid w:val="73EC185D"/>
    <w:rsid w:val="73F12089"/>
    <w:rsid w:val="740F3A7E"/>
    <w:rsid w:val="743106D8"/>
    <w:rsid w:val="74357BE9"/>
    <w:rsid w:val="745D771F"/>
    <w:rsid w:val="746565D3"/>
    <w:rsid w:val="74BA691F"/>
    <w:rsid w:val="74E120FE"/>
    <w:rsid w:val="74FC0CE6"/>
    <w:rsid w:val="75120509"/>
    <w:rsid w:val="754B3A1B"/>
    <w:rsid w:val="754F3AC0"/>
    <w:rsid w:val="755A1EB0"/>
    <w:rsid w:val="75614FED"/>
    <w:rsid w:val="75703482"/>
    <w:rsid w:val="75CB06B8"/>
    <w:rsid w:val="75D532E5"/>
    <w:rsid w:val="75D94B83"/>
    <w:rsid w:val="75DF4163"/>
    <w:rsid w:val="75ED6880"/>
    <w:rsid w:val="76045978"/>
    <w:rsid w:val="763444AF"/>
    <w:rsid w:val="764C17F9"/>
    <w:rsid w:val="764F3097"/>
    <w:rsid w:val="766E5C13"/>
    <w:rsid w:val="767B7F16"/>
    <w:rsid w:val="767E572A"/>
    <w:rsid w:val="76854D0B"/>
    <w:rsid w:val="768865A9"/>
    <w:rsid w:val="768C42EB"/>
    <w:rsid w:val="76966F18"/>
    <w:rsid w:val="76AC7B4F"/>
    <w:rsid w:val="76C53359"/>
    <w:rsid w:val="76D417EE"/>
    <w:rsid w:val="770B3462"/>
    <w:rsid w:val="77275DC2"/>
    <w:rsid w:val="772938E8"/>
    <w:rsid w:val="7769527B"/>
    <w:rsid w:val="77696CAA"/>
    <w:rsid w:val="777059BB"/>
    <w:rsid w:val="77A318EC"/>
    <w:rsid w:val="77B43AFA"/>
    <w:rsid w:val="77C83101"/>
    <w:rsid w:val="77D221D2"/>
    <w:rsid w:val="780B1240"/>
    <w:rsid w:val="780E2ADE"/>
    <w:rsid w:val="78280044"/>
    <w:rsid w:val="7840713B"/>
    <w:rsid w:val="7860333A"/>
    <w:rsid w:val="788475A5"/>
    <w:rsid w:val="78911745"/>
    <w:rsid w:val="78D15FE5"/>
    <w:rsid w:val="78D45AD6"/>
    <w:rsid w:val="78EBC6FF"/>
    <w:rsid w:val="78FE2B52"/>
    <w:rsid w:val="7908577F"/>
    <w:rsid w:val="791315A5"/>
    <w:rsid w:val="791B1956"/>
    <w:rsid w:val="79226841"/>
    <w:rsid w:val="793D7B1F"/>
    <w:rsid w:val="794C7D62"/>
    <w:rsid w:val="798D4602"/>
    <w:rsid w:val="79A851C1"/>
    <w:rsid w:val="79AE6327"/>
    <w:rsid w:val="79BC6C95"/>
    <w:rsid w:val="79D815F5"/>
    <w:rsid w:val="79FC7092"/>
    <w:rsid w:val="7A0B5527"/>
    <w:rsid w:val="7A65732D"/>
    <w:rsid w:val="7A6F3D08"/>
    <w:rsid w:val="7A770E0E"/>
    <w:rsid w:val="7AB01B57"/>
    <w:rsid w:val="7ACA3634"/>
    <w:rsid w:val="7B14665D"/>
    <w:rsid w:val="7B166879"/>
    <w:rsid w:val="7B1B5C3E"/>
    <w:rsid w:val="7B2C39A7"/>
    <w:rsid w:val="7B362A78"/>
    <w:rsid w:val="7B452A8D"/>
    <w:rsid w:val="7B5D1DB2"/>
    <w:rsid w:val="7B656EB9"/>
    <w:rsid w:val="7B7A4F7D"/>
    <w:rsid w:val="7BA7127F"/>
    <w:rsid w:val="7BE84ACB"/>
    <w:rsid w:val="7BFB81FB"/>
    <w:rsid w:val="7BFF27A7"/>
    <w:rsid w:val="7C1032C9"/>
    <w:rsid w:val="7C1D1542"/>
    <w:rsid w:val="7C312E96"/>
    <w:rsid w:val="7C817D22"/>
    <w:rsid w:val="7C923CDE"/>
    <w:rsid w:val="7C9712F4"/>
    <w:rsid w:val="7CB72986"/>
    <w:rsid w:val="7CBA4FE2"/>
    <w:rsid w:val="7CCD4D16"/>
    <w:rsid w:val="7CE87DA1"/>
    <w:rsid w:val="7CEC7892"/>
    <w:rsid w:val="7CEF1130"/>
    <w:rsid w:val="7D076C4F"/>
    <w:rsid w:val="7D1E3982"/>
    <w:rsid w:val="7D20578D"/>
    <w:rsid w:val="7D3542EB"/>
    <w:rsid w:val="7D3721E2"/>
    <w:rsid w:val="7D9D4CFC"/>
    <w:rsid w:val="7DCA74A7"/>
    <w:rsid w:val="7DD32800"/>
    <w:rsid w:val="7DD86068"/>
    <w:rsid w:val="7DF7AE6C"/>
    <w:rsid w:val="7DFFD896"/>
    <w:rsid w:val="7E265025"/>
    <w:rsid w:val="7E378943"/>
    <w:rsid w:val="7E4C610E"/>
    <w:rsid w:val="7E576F8D"/>
    <w:rsid w:val="7E592E51"/>
    <w:rsid w:val="7E69126D"/>
    <w:rsid w:val="7E742A76"/>
    <w:rsid w:val="7E81225C"/>
    <w:rsid w:val="7E834226"/>
    <w:rsid w:val="7EA45F4A"/>
    <w:rsid w:val="7EC65EC0"/>
    <w:rsid w:val="7EF7251E"/>
    <w:rsid w:val="7F043C8F"/>
    <w:rsid w:val="7F182BC0"/>
    <w:rsid w:val="7F363046"/>
    <w:rsid w:val="7F4D213E"/>
    <w:rsid w:val="7F531E4A"/>
    <w:rsid w:val="7F7A4427"/>
    <w:rsid w:val="7FAE0E2E"/>
    <w:rsid w:val="7FE7B000"/>
    <w:rsid w:val="8D6FF07C"/>
    <w:rsid w:val="AFAF159E"/>
    <w:rsid w:val="B4FBF467"/>
    <w:rsid w:val="B56F6541"/>
    <w:rsid w:val="B7FD91D1"/>
    <w:rsid w:val="BA6FD258"/>
    <w:rsid w:val="BB77F3ED"/>
    <w:rsid w:val="BBDFE1B0"/>
    <w:rsid w:val="BCE12DDA"/>
    <w:rsid w:val="BDB7FF0D"/>
    <w:rsid w:val="BF1DCBB3"/>
    <w:rsid w:val="CBDF1275"/>
    <w:rsid w:val="D5DB4AC1"/>
    <w:rsid w:val="DA9F353D"/>
    <w:rsid w:val="DEEE540C"/>
    <w:rsid w:val="DEFA68A1"/>
    <w:rsid w:val="EE788A06"/>
    <w:rsid w:val="EFFB6B02"/>
    <w:rsid w:val="F76919C8"/>
    <w:rsid w:val="F7B70A78"/>
    <w:rsid w:val="F8F8F0A3"/>
    <w:rsid w:val="FFF35869"/>
    <w:rsid w:val="FFFD17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style>
  <w:style w:type="paragraph" w:styleId="3">
    <w:name w:val="Normal Indent"/>
    <w:basedOn w:val="1"/>
    <w:unhideWhenUsed/>
    <w:qFormat/>
    <w:uiPriority w:val="99"/>
    <w:pPr>
      <w:ind w:firstLine="420" w:firstLineChars="200"/>
    </w:pPr>
    <w:rPr>
      <w:rFonts w:ascii="Calibri" w:hAnsi="Calibri"/>
      <w:szCs w:val="24"/>
    </w:rPr>
  </w:style>
  <w:style w:type="paragraph" w:styleId="4">
    <w:name w:val="Body Text Indent"/>
    <w:basedOn w:val="1"/>
    <w:qFormat/>
    <w:uiPriority w:val="0"/>
    <w:pPr>
      <w:spacing w:after="120"/>
      <w:ind w:left="420" w:leftChars="200"/>
    </w:pPr>
    <w:rPr>
      <w:rFonts w:ascii="Times New Roman" w:hAnsi="Times New Roman" w:cs="Times New Roman"/>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99"/>
    <w:pPr>
      <w:wordWrap w:val="0"/>
      <w:spacing w:after="60"/>
      <w:jc w:val="center"/>
    </w:pPr>
    <w:rPr>
      <w:sz w:val="24"/>
    </w:rPr>
  </w:style>
  <w:style w:type="paragraph" w:styleId="8">
    <w:name w:val="Body Text 2"/>
    <w:basedOn w:val="1"/>
    <w:qFormat/>
    <w:uiPriority w:val="0"/>
    <w:pPr>
      <w:spacing w:after="120" w:line="480" w:lineRule="auto"/>
    </w:pPr>
    <w:rPr>
      <w:rFonts w:ascii="Times New Roman" w:hAnsi="Times New Roman" w:cs="Times New Roman"/>
      <w:szCs w:val="20"/>
    </w:rPr>
  </w:style>
  <w:style w:type="paragraph" w:styleId="9">
    <w:name w:val="Normal (Web)"/>
    <w:basedOn w:val="1"/>
    <w:qFormat/>
    <w:uiPriority w:val="0"/>
    <w:pPr>
      <w:jc w:val="left"/>
    </w:pPr>
    <w:rPr>
      <w:kern w:val="0"/>
      <w:sz w:val="24"/>
    </w:rPr>
  </w:style>
  <w:style w:type="paragraph" w:styleId="10">
    <w:name w:val="Body Text First Indent"/>
    <w:basedOn w:val="2"/>
    <w:qFormat/>
    <w:uiPriority w:val="0"/>
    <w:pPr>
      <w:ind w:firstLine="420" w:firstLineChars="100"/>
    </w:pPr>
  </w:style>
  <w:style w:type="paragraph" w:styleId="11">
    <w:name w:val="Body Text First Indent 2"/>
    <w:basedOn w:val="4"/>
    <w:next w:val="10"/>
    <w:qFormat/>
    <w:uiPriority w:val="0"/>
    <w:pPr>
      <w:ind w:firstLine="420"/>
    </w:pPr>
    <w:rPr>
      <w:rFonts w:ascii="Calibri" w:hAnsi="Calibri"/>
      <w:szCs w:val="24"/>
    </w:rPr>
  </w:style>
  <w:style w:type="character" w:styleId="14">
    <w:name w:val="page number"/>
    <w:basedOn w:val="13"/>
    <w:qFormat/>
    <w:uiPriority w:val="0"/>
  </w:style>
  <w:style w:type="character" w:styleId="15">
    <w:name w:val="FollowedHyperlink"/>
    <w:basedOn w:val="13"/>
    <w:qFormat/>
    <w:uiPriority w:val="0"/>
    <w:rPr>
      <w:color w:val="6C6C6C"/>
      <w:u w:val="none"/>
    </w:rPr>
  </w:style>
  <w:style w:type="character" w:styleId="16">
    <w:name w:val="Hyperlink"/>
    <w:basedOn w:val="13"/>
    <w:qFormat/>
    <w:uiPriority w:val="0"/>
    <w:rPr>
      <w:color w:val="6C6C6C"/>
      <w:u w:val="none"/>
    </w:rPr>
  </w:style>
  <w:style w:type="paragraph" w:customStyle="1" w:styleId="17">
    <w:name w:val="Char Char Char Char"/>
    <w:basedOn w:val="1"/>
    <w:qFormat/>
    <w:uiPriority w:val="0"/>
    <w:pPr>
      <w:adjustRightInd w:val="0"/>
      <w:spacing w:line="360" w:lineRule="auto"/>
    </w:pPr>
  </w:style>
  <w:style w:type="paragraph" w:customStyle="1" w:styleId="18">
    <w:name w:val="p0"/>
    <w:basedOn w:val="1"/>
    <w:qFormat/>
    <w:uiPriority w:val="0"/>
    <w:pPr>
      <w:widowControl/>
    </w:pPr>
    <w:rPr>
      <w:kern w:val="0"/>
      <w:szCs w:val="21"/>
    </w:rPr>
  </w:style>
  <w:style w:type="paragraph" w:customStyle="1" w:styleId="19">
    <w:name w:val="Default"/>
    <w:basedOn w:val="20"/>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20">
    <w:name w:val="正文1"/>
    <w:qFormat/>
    <w:uiPriority w:val="0"/>
    <w:pPr>
      <w:widowControl w:val="0"/>
      <w:jc w:val="both"/>
    </w:pPr>
    <w:rPr>
      <w:rFonts w:ascii="Calibri;Segoe UI" w:hAnsi="Calibri;Segoe UI" w:eastAsia="等线;微软雅黑" w:cs="Times New Roman"/>
      <w:color w:val="000000"/>
      <w:kern w:val="2"/>
      <w:sz w:val="21"/>
      <w:szCs w:val="24"/>
      <w:lang w:val="en-US" w:eastAsia="zh-CN" w:bidi="hi-IN"/>
    </w:rPr>
  </w:style>
  <w:style w:type="character" w:customStyle="1" w:styleId="21">
    <w:name w:val="focus"/>
    <w:basedOn w:val="13"/>
    <w:qFormat/>
    <w:uiPriority w:val="0"/>
  </w:style>
  <w:style w:type="character" w:customStyle="1" w:styleId="22">
    <w:name w:val="ql-font-arial"/>
    <w:basedOn w:val="13"/>
    <w:qFormat/>
    <w:uiPriority w:val="0"/>
  </w:style>
  <w:style w:type="paragraph" w:customStyle="1" w:styleId="23">
    <w:name w:val="正文缩进1"/>
    <w:basedOn w:val="1"/>
    <w:qFormat/>
    <w:uiPriority w:val="0"/>
    <w:pPr>
      <w:ind w:firstLine="420"/>
    </w:pPr>
  </w:style>
  <w:style w:type="character" w:customStyle="1" w:styleId="24">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FiSh'S WebSite 徐晓维</Company>
  <Pages>10</Pages>
  <Words>4319</Words>
  <Characters>4514</Characters>
  <Lines>26</Lines>
  <Paragraphs>7</Paragraphs>
  <TotalTime>44</TotalTime>
  <ScaleCrop>false</ScaleCrop>
  <LinksUpToDate>false</LinksUpToDate>
  <CharactersWithSpaces>4530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2021-07-19T18:56:00Z</dcterms:created>
  <dc:creator>Administrator</dc:creator>
  <cp:lastModifiedBy>Administrator</cp:lastModifiedBy>
  <cp:lastPrinted>2025-08-01T08:50:00Z</cp:lastPrinted>
  <dcterms:modified xsi:type="dcterms:W3CDTF">2025-08-01T08:53:50Z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1FC4923887434358BC943A10727F58D1_13</vt:lpwstr>
  </property>
  <property fmtid="{D5CDD505-2E9C-101B-9397-08002B2CF9AE}" pid="4" name="KSOTemplateDocerSaveRecord">
    <vt:lpwstr>eyJoZGlkIjoiMTVkMWM2NzcwOTE5MjA1MjQ2OWM1MjY4MTVmZmQwNzYiLCJ1c2VySWQiOiIyOTIwMDcxOTUifQ==</vt:lpwstr>
  </property>
</Properties>
</file>