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2019年度</w:t>
      </w:r>
    </w:p>
    <w:p>
      <w:pPr>
        <w:jc w:val="center"/>
        <w:rPr>
          <w:rFonts w:hint="eastAsia" w:ascii="黑体" w:hAnsi="黑体" w:eastAsia="黑体" w:cs="黑体"/>
          <w:sz w:val="52"/>
          <w:szCs w:val="52"/>
        </w:rPr>
      </w:pPr>
      <w:r>
        <w:rPr>
          <w:rFonts w:hint="eastAsia" w:ascii="黑体" w:hAnsi="黑体" w:eastAsia="黑体" w:cs="黑体"/>
          <w:sz w:val="52"/>
          <w:szCs w:val="52"/>
          <w:lang w:eastAsia="zh-CN"/>
        </w:rPr>
        <w:t>栾川县卫生健康委员会</w:t>
      </w:r>
      <w:r>
        <w:rPr>
          <w:rFonts w:hint="eastAsia" w:ascii="黑体" w:hAnsi="黑体" w:eastAsia="黑体" w:cs="黑体"/>
          <w:sz w:val="52"/>
          <w:szCs w:val="52"/>
        </w:rPr>
        <w:t>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二〇二〇年</w:t>
      </w:r>
      <w:r>
        <w:rPr>
          <w:rFonts w:hint="eastAsia" w:ascii="黑体" w:hAnsi="黑体" w:eastAsia="黑体" w:cs="黑体"/>
          <w:sz w:val="32"/>
          <w:szCs w:val="32"/>
          <w:lang w:eastAsia="zh-CN"/>
        </w:rPr>
        <w:t>十</w:t>
      </w:r>
      <w:r>
        <w:rPr>
          <w:rFonts w:hint="eastAsia" w:ascii="黑体" w:hAnsi="黑体" w:eastAsia="黑体" w:cs="黑体"/>
          <w:sz w:val="32"/>
          <w:szCs w:val="32"/>
          <w:highlight w:val="none"/>
        </w:rPr>
        <w:t>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栾川县卫生健康委员会</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48"/>
          <w:szCs w:val="48"/>
          <w:lang w:eastAsia="zh-CN"/>
        </w:rPr>
        <w:t>栾川县卫生健康委员会</w:t>
      </w:r>
      <w:r>
        <w:rPr>
          <w:rFonts w:hint="eastAsia" w:ascii="黑体" w:hAnsi="黑体" w:eastAsia="黑体" w:cs="黑体"/>
          <w:sz w:val="48"/>
          <w:szCs w:val="48"/>
        </w:rPr>
        <w:t>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栾川县卫生健康委员会是县政府工作部门，为正科级。主要职责：</w:t>
      </w:r>
    </w:p>
    <w:p>
      <w:p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一）贯彻执行国家关于国民健康工作及省、市关于卫生健康事业发展的法律、法规、规章和方针、政策；负责拟订全县卫生健康、中医药事业发展的政策措施，统筹规划全县卫生健康资源配置，指导全县卫生健康规划的编制和实施。履行政府办医职能，负责公立医院发展规划、章程制定、重大项目实施、财政投入、运行监管、绩效考核等。</w:t>
      </w:r>
    </w:p>
    <w:p>
      <w:p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二）协调推进深化医药卫生体制改革。组织推进公立医院综合改革，推进官办分离，健全现代医药管理制度，组织实施推动卫生健康公共服务提供主题多元化、提供方式多样化的政策措施，提出医疗服务和药品价格政策的建议。</w:t>
      </w:r>
    </w:p>
    <w:p>
      <w:p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三）负责制定全县疾病预防控制规划、免疫规划、严重危害人民健康公共卫生问题的干预措施并组织落实；组织制定卫生应急和紧急医学救援预案、突发公共卫生事件监测和风险评估计划，组织和指导全县突发公共卫生事件预防控制和各类突发公共事件的医疗卫生救援，根据授权发布突发公共卫生事件应急处置信息。</w:t>
      </w:r>
    </w:p>
    <w:p>
      <w:p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（四）组织协调实施国家、省、市应对人口老龄化政策措施，推进全县老年健康服务体系建设和医养结合工作。</w:t>
      </w:r>
    </w:p>
    <w:p>
      <w:pPr>
        <w:numPr>
          <w:ilvl w:val="0"/>
          <w:numId w:val="2"/>
        </w:num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负责全县作业场所职业健康监管工作，督促企业做好职业危害检测及职工体检工作。</w:t>
      </w:r>
    </w:p>
    <w:p>
      <w:pPr>
        <w:numPr>
          <w:ilvl w:val="0"/>
          <w:numId w:val="2"/>
        </w:num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承担职责范围内的职业卫生、放射卫生、环境卫生、学校卫生、公共场所卫生、饮用水卫生等公共卫生的监督管理，负责传染病防治监督，健全全县卫生健康综合监督体系。</w:t>
      </w:r>
    </w:p>
    <w:p>
      <w:pPr>
        <w:numPr>
          <w:ilvl w:val="0"/>
          <w:numId w:val="2"/>
        </w:num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负责制定全县医疗机构和医疗服务行业管理办法并监督实施。制定医疗机构及其医疗服务、医疗技术、医疗质量、医疗安全以及采供血机构管理的规范并组织实施，会同有关部门贯彻执行国家卫生健康专业技术人员准入、资格标准，制定并组织实施卫生健康专业技术人员执业规则和服务规范，建立医疗服务评价和监督管理体系。</w:t>
      </w:r>
    </w:p>
    <w:p>
      <w:pPr>
        <w:numPr>
          <w:ilvl w:val="0"/>
          <w:numId w:val="2"/>
        </w:num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贯彻落实计划生育政策。负责全县计划生育服务管理工作，全面落实各级计划生育奖励扶助政策，依法组织开展统计调查，监测计划生育发展动态，开展信息分析工作，提出发布计划生育安全预警预报信息建议。指导县计划生育协会的业务工作。</w:t>
      </w:r>
    </w:p>
    <w:p>
      <w:pPr>
        <w:numPr>
          <w:ilvl w:val="0"/>
          <w:numId w:val="2"/>
        </w:num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指导卫生健康系统干部队伍、公共服务网络体系建设，组织拟订全县卫生健康人才发展规划和政策并组织实施，推进基层医疗卫生、妇幼健康服务体系和全科医生队伍建设。</w:t>
      </w:r>
    </w:p>
    <w:p>
      <w:pPr>
        <w:numPr>
          <w:ilvl w:val="0"/>
          <w:numId w:val="2"/>
        </w:num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承担卫生健康信息化建设、网站建设和信息统计工作；负责全县“三级远程会诊”工作；完善全员人口信息数据库，参与国家、省、市卫生和人口基础信息库建设。</w:t>
      </w:r>
    </w:p>
    <w:p>
      <w:pPr>
        <w:numPr>
          <w:ilvl w:val="0"/>
          <w:numId w:val="2"/>
        </w:num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制定全县中医药中长期发展规划，并纳入卫生健康事业发展总体规划和战略目标。</w:t>
      </w:r>
    </w:p>
    <w:p>
      <w:pPr>
        <w:numPr>
          <w:ilvl w:val="0"/>
          <w:numId w:val="2"/>
        </w:num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承担全县保健工作宏观指导和在县内重要会议、重大活动的卫生保障工作。</w:t>
      </w:r>
    </w:p>
    <w:p>
      <w:pPr>
        <w:numPr>
          <w:ilvl w:val="0"/>
          <w:numId w:val="2"/>
        </w:num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承担县爱国卫生运动委员会、县老龄工作委员会的日常工作。</w:t>
      </w:r>
    </w:p>
    <w:p>
      <w:p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（十四）完成县委、县政府交办的其他事项。</w:t>
      </w:r>
    </w:p>
    <w:p>
      <w:pPr>
        <w:widowControl/>
        <w:spacing w:beforeLines="0" w:afterLines="0"/>
        <w:ind w:firstLine="640" w:firstLineChars="200"/>
        <w:jc w:val="left"/>
        <w:outlineLvl w:val="1"/>
        <w:rPr>
          <w:rFonts w:hint="eastAsia" w:ascii="黑体" w:hAnsi="黑体" w:eastAsia="黑体"/>
          <w:color w:val="auto"/>
          <w:kern w:val="0"/>
          <w:sz w:val="32"/>
        </w:rPr>
      </w:pPr>
      <w:r>
        <w:rPr>
          <w:rFonts w:hint="eastAsia" w:ascii="黑体" w:hAnsi="黑体" w:eastAsia="黑体"/>
          <w:color w:val="auto"/>
          <w:kern w:val="0"/>
          <w:sz w:val="32"/>
        </w:rPr>
        <w:t>二、机构设置</w:t>
      </w:r>
    </w:p>
    <w:p>
      <w:p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栾川县卫生健康委员会内设机构3个，包括：办公室、业务股、综合股。</w:t>
      </w:r>
    </w:p>
    <w:p>
      <w:pPr>
        <w:spacing w:beforeLines="0" w:afterLines="0" w:line="600" w:lineRule="exact"/>
        <w:ind w:firstLine="640" w:firstLineChars="200"/>
        <w:rPr>
          <w:rFonts w:hint="eastAsia" w:ascii="仿宋_GB2312" w:hAnsi="宋体" w:eastAsia="仿宋_GB2312"/>
          <w:kern w:val="0"/>
          <w:sz w:val="32"/>
        </w:rPr>
      </w:pPr>
      <w:r>
        <w:rPr>
          <w:rFonts w:hint="eastAsia" w:ascii="仿宋_GB2312" w:hAnsi="宋体" w:eastAsia="仿宋_GB2312"/>
          <w:kern w:val="0"/>
          <w:sz w:val="32"/>
        </w:rPr>
        <w:t>从决算单位构成看，栾川县卫生健康委员会决算包括本级决算、所属单位决算</w:t>
      </w:r>
      <w:r>
        <w:rPr>
          <w:rFonts w:hint="eastAsia" w:ascii="仿宋_GB2312" w:hAnsi="宋体" w:eastAsia="仿宋_GB2312"/>
          <w:kern w:val="0"/>
          <w:sz w:val="32"/>
          <w:lang w:eastAsia="zh-CN"/>
        </w:rPr>
        <w:t>。</w:t>
      </w:r>
    </w:p>
    <w:p>
      <w:pPr>
        <w:spacing w:beforeLines="0" w:afterLines="0"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本决算为汇总决算，</w:t>
      </w:r>
      <w:r>
        <w:rPr>
          <w:rFonts w:hint="eastAsia" w:ascii="仿宋_GB2312" w:hAnsi="仿宋_GB2312" w:eastAsia="仿宋_GB2312"/>
          <w:color w:val="auto"/>
          <w:kern w:val="0"/>
          <w:sz w:val="32"/>
        </w:rPr>
        <w:t>纳入本部门2019年度部门决算</w:t>
      </w:r>
      <w:r>
        <w:rPr>
          <w:rFonts w:hint="eastAsia" w:ascii="仿宋_GB2312" w:hAnsi="仿宋_GB2312" w:eastAsia="仿宋_GB2312"/>
          <w:color w:val="auto"/>
          <w:kern w:val="0"/>
          <w:sz w:val="32"/>
          <w:lang w:eastAsia="zh-CN"/>
        </w:rPr>
        <w:t>编制</w:t>
      </w:r>
      <w:r>
        <w:rPr>
          <w:rFonts w:hint="eastAsia" w:ascii="仿宋_GB2312" w:hAnsi="仿宋_GB2312" w:eastAsia="仿宋_GB2312"/>
          <w:color w:val="auto"/>
          <w:kern w:val="0"/>
          <w:sz w:val="32"/>
        </w:rPr>
        <w:t>范围的单位共20个，均为二级预算单位。具体如下：</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栾川县卫生健康委员会</w:t>
      </w:r>
      <w:r>
        <w:rPr>
          <w:rFonts w:hint="eastAsia" w:ascii="仿宋_GB2312" w:hAnsi="仿宋_GB2312" w:eastAsia="仿宋_GB2312" w:cs="仿宋_GB2312"/>
          <w:kern w:val="0"/>
          <w:sz w:val="32"/>
          <w:szCs w:val="32"/>
        </w:rPr>
        <w:t>本级</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栾川县人民医院</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栾川县中医院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4.栾川县妇幼保健院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5.栾川县疾病预防控制中心</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6.栾川县卫生监督中心</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7.栾川县城关卫生院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8.栾川县石庙卫生院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9.栾川县陶湾镇中心卫生院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10.栾川县叫河镇卫生院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11.栾川县三川中心卫生院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12.栾川县冷水镇卫生院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13.栾川县白土镇卫生院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14.栾川县狮子庙中心卫生院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15.栾川县秋扒乡卫生院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16.栾川县潭头中心卫生院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17.栾川县庙子镇中心卫生院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18.栾川县合峪中心卫生院</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19.栾川县赤土店镇卫生院</w:t>
      </w:r>
    </w:p>
    <w:p>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20.栾川县栾川乡卫生院</w:t>
      </w:r>
    </w:p>
    <w:p>
      <w:pPr>
        <w:widowControl/>
        <w:ind w:firstLine="560" w:firstLineChars="200"/>
        <w:jc w:val="left"/>
        <w:rPr>
          <w:rFonts w:hint="default" w:ascii="黑体" w:hAnsi="宋体" w:eastAsia="黑体" w:cs="宋体"/>
          <w:kern w:val="0"/>
          <w:sz w:val="28"/>
          <w:szCs w:val="28"/>
          <w:lang w:val="en-US" w:eastAsia="zh-CN"/>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4"/>
        <w:tblW w:w="13677" w:type="dxa"/>
        <w:tblInd w:w="0" w:type="dxa"/>
        <w:shd w:val="clear" w:color="auto" w:fill="auto"/>
        <w:tblLayout w:type="fixed"/>
        <w:tblCellMar>
          <w:top w:w="0" w:type="dxa"/>
          <w:left w:w="0" w:type="dxa"/>
          <w:bottom w:w="0" w:type="dxa"/>
          <w:right w:w="0" w:type="dxa"/>
        </w:tblCellMar>
      </w:tblPr>
      <w:tblGrid>
        <w:gridCol w:w="4002"/>
        <w:gridCol w:w="660"/>
        <w:gridCol w:w="1890"/>
        <w:gridCol w:w="3915"/>
        <w:gridCol w:w="1144"/>
        <w:gridCol w:w="2066"/>
      </w:tblGrid>
      <w:tr>
        <w:tblPrEx>
          <w:shd w:val="clear" w:color="auto" w:fill="auto"/>
          <w:tblCellMar>
            <w:top w:w="0" w:type="dxa"/>
            <w:left w:w="0" w:type="dxa"/>
            <w:bottom w:w="0" w:type="dxa"/>
            <w:right w:w="0" w:type="dxa"/>
          </w:tblCellMar>
        </w:tblPrEx>
        <w:trPr>
          <w:trHeight w:val="390" w:hRule="atLeast"/>
        </w:trPr>
        <w:tc>
          <w:tcPr>
            <w:tcW w:w="13677"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13677"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公开01表</w:t>
            </w:r>
          </w:p>
        </w:tc>
      </w:tr>
      <w:tr>
        <w:tblPrEx>
          <w:tblCellMar>
            <w:top w:w="0" w:type="dxa"/>
            <w:left w:w="0" w:type="dxa"/>
            <w:bottom w:w="0" w:type="dxa"/>
            <w:right w:w="0" w:type="dxa"/>
          </w:tblCellMar>
        </w:tblPrEx>
        <w:trPr>
          <w:trHeight w:val="255" w:hRule="atLeast"/>
        </w:trPr>
        <w:tc>
          <w:tcPr>
            <w:tcW w:w="65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部门：栾川县卫生健康委员会</w:t>
            </w:r>
          </w:p>
        </w:tc>
        <w:tc>
          <w:tcPr>
            <w:tcW w:w="7125"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CellMar>
            <w:top w:w="0" w:type="dxa"/>
            <w:left w:w="0" w:type="dxa"/>
            <w:bottom w:w="0" w:type="dxa"/>
            <w:right w:w="0" w:type="dxa"/>
          </w:tblCellMar>
        </w:tblPrEx>
        <w:trPr>
          <w:trHeight w:val="308" w:hRule="atLeast"/>
        </w:trPr>
        <w:tc>
          <w:tcPr>
            <w:tcW w:w="65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125"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9,644.44</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38,246.46</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47,207.93</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293.90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48,012.91</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47,623.93</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351.83</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371.85</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26.81</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395.77</w:t>
            </w: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0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48,391.55</w:t>
            </w:r>
          </w:p>
        </w:tc>
        <w:tc>
          <w:tcPr>
            <w:tcW w:w="3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48,391.55</w:t>
            </w:r>
          </w:p>
        </w:tc>
      </w:tr>
      <w:tr>
        <w:tblPrEx>
          <w:tblCellMar>
            <w:top w:w="0" w:type="dxa"/>
            <w:left w:w="0" w:type="dxa"/>
            <w:bottom w:w="0" w:type="dxa"/>
            <w:right w:w="0" w:type="dxa"/>
          </w:tblCellMar>
        </w:tblPrEx>
        <w:trPr>
          <w:trHeight w:val="308" w:hRule="atLeast"/>
        </w:trPr>
        <w:tc>
          <w:tcPr>
            <w:tcW w:w="13677"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633" w:right="1440" w:bottom="1463" w:left="1440" w:header="720" w:footer="720" w:gutter="0"/>
          <w:pgNumType w:fmt="numberInDash"/>
          <w:cols w:space="720" w:num="1"/>
          <w:docGrid w:type="lines" w:linePitch="312" w:charSpace="0"/>
        </w:sectPr>
      </w:pPr>
    </w:p>
    <w:tbl>
      <w:tblPr>
        <w:tblStyle w:val="4"/>
        <w:tblW w:w="13260" w:type="dxa"/>
        <w:tblInd w:w="0" w:type="dxa"/>
        <w:shd w:val="clear" w:color="auto" w:fill="auto"/>
        <w:tblLayout w:type="autofit"/>
        <w:tblCellMar>
          <w:top w:w="0" w:type="dxa"/>
          <w:left w:w="0" w:type="dxa"/>
          <w:bottom w:w="0" w:type="dxa"/>
          <w:right w:w="0" w:type="dxa"/>
        </w:tblCellMar>
      </w:tblPr>
      <w:tblGrid>
        <w:gridCol w:w="990"/>
        <w:gridCol w:w="4210"/>
        <w:gridCol w:w="1500"/>
        <w:gridCol w:w="1395"/>
        <w:gridCol w:w="892"/>
        <w:gridCol w:w="1500"/>
        <w:gridCol w:w="920"/>
        <w:gridCol w:w="925"/>
        <w:gridCol w:w="928"/>
      </w:tblGrid>
      <w:tr>
        <w:tblPrEx>
          <w:shd w:val="clear" w:color="auto" w:fill="auto"/>
          <w:tblCellMar>
            <w:top w:w="0" w:type="dxa"/>
            <w:left w:w="0" w:type="dxa"/>
            <w:bottom w:w="0" w:type="dxa"/>
            <w:right w:w="0" w:type="dxa"/>
          </w:tblCellMar>
        </w:tblPrEx>
        <w:trPr>
          <w:trHeight w:val="390" w:hRule="atLeast"/>
        </w:trPr>
        <w:tc>
          <w:tcPr>
            <w:tcW w:w="1326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公开02表</w:t>
            </w:r>
          </w:p>
        </w:tc>
      </w:tr>
      <w:tr>
        <w:tblPrEx>
          <w:tblCellMar>
            <w:top w:w="0" w:type="dxa"/>
            <w:left w:w="0" w:type="dxa"/>
            <w:bottom w:w="0" w:type="dxa"/>
            <w:right w:w="0" w:type="dxa"/>
          </w:tblCellMar>
        </w:tblPrEx>
        <w:trPr>
          <w:trHeight w:val="255" w:hRule="atLeast"/>
        </w:trPr>
        <w:tc>
          <w:tcPr>
            <w:tcW w:w="0" w:type="auto"/>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部门：栾川县卫生健康委员会</w:t>
            </w:r>
          </w:p>
        </w:tc>
        <w:tc>
          <w:tcPr>
            <w:tcW w:w="0" w:type="auto"/>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39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9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5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2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2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23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48,012.91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9,766.44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38,246.46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47,596.90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9,350.44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38,246.46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21,143.91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20,553.60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综合医院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20,944.46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20,553.60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17,019.77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1,997.47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15,022.30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8,976.45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1,163.88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7,812.57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8,043.32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833.59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7,209.73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7,155.67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4,485.11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2,670.56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疾病预防控制机构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卫生监督机构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妇幼保健机构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2,716.32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2,670.56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2,378.89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2,378.89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中医药</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中医（民族医）药专项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1,680.01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1,680.01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社会发展</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用于其他社会公益事业的彩票公益金支出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802" w:type="dxa"/>
        <w:tblInd w:w="0" w:type="dxa"/>
        <w:shd w:val="clear" w:color="auto" w:fill="auto"/>
        <w:tblLayout w:type="fixed"/>
        <w:tblCellMar>
          <w:top w:w="0" w:type="dxa"/>
          <w:left w:w="0" w:type="dxa"/>
          <w:bottom w:w="0" w:type="dxa"/>
          <w:right w:w="0" w:type="dxa"/>
        </w:tblCellMar>
      </w:tblPr>
      <w:tblGrid>
        <w:gridCol w:w="1317"/>
        <w:gridCol w:w="5460"/>
        <w:gridCol w:w="1440"/>
        <w:gridCol w:w="1230"/>
        <w:gridCol w:w="1245"/>
        <w:gridCol w:w="1035"/>
        <w:gridCol w:w="930"/>
        <w:gridCol w:w="1145"/>
      </w:tblGrid>
      <w:tr>
        <w:tblPrEx>
          <w:shd w:val="clear" w:color="auto" w:fill="auto"/>
          <w:tblCellMar>
            <w:top w:w="0" w:type="dxa"/>
            <w:left w:w="0" w:type="dxa"/>
            <w:bottom w:w="0" w:type="dxa"/>
            <w:right w:w="0" w:type="dxa"/>
          </w:tblCellMar>
        </w:tblPrEx>
        <w:trPr>
          <w:trHeight w:val="636" w:hRule="atLeast"/>
        </w:trPr>
        <w:tc>
          <w:tcPr>
            <w:tcW w:w="1380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326" w:hRule="atLeast"/>
        </w:trPr>
        <w:tc>
          <w:tcPr>
            <w:tcW w:w="1380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公开03表</w:t>
            </w:r>
          </w:p>
        </w:tc>
      </w:tr>
      <w:tr>
        <w:tblPrEx>
          <w:tblCellMar>
            <w:top w:w="0" w:type="dxa"/>
            <w:left w:w="0" w:type="dxa"/>
            <w:bottom w:w="0" w:type="dxa"/>
            <w:right w:w="0" w:type="dxa"/>
          </w:tblCellMar>
        </w:tblPrEx>
        <w:trPr>
          <w:trHeight w:val="326" w:hRule="atLeast"/>
        </w:trPr>
        <w:tc>
          <w:tcPr>
            <w:tcW w:w="8217"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部门：栾川县卫生健康委员会</w:t>
            </w:r>
          </w:p>
        </w:tc>
        <w:tc>
          <w:tcPr>
            <w:tcW w:w="5585"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CellMar>
            <w:top w:w="0" w:type="dxa"/>
            <w:left w:w="0" w:type="dxa"/>
            <w:bottom w:w="0" w:type="dxa"/>
            <w:right w:w="0" w:type="dxa"/>
          </w:tblCellMar>
        </w:tblPrEx>
        <w:trPr>
          <w:trHeight w:val="336" w:hRule="atLeast"/>
        </w:trPr>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本年支出合计</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基本支出</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项目支出</w:t>
            </w:r>
          </w:p>
        </w:tc>
        <w:tc>
          <w:tcPr>
            <w:tcW w:w="103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3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4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646" w:hRule="atLeast"/>
        </w:trPr>
        <w:tc>
          <w:tcPr>
            <w:tcW w:w="1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科目名称</w:t>
            </w:r>
          </w:p>
        </w:tc>
        <w:tc>
          <w:tcPr>
            <w:tcW w:w="144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24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0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6" w:hRule="atLeast"/>
        </w:trPr>
        <w:tc>
          <w:tcPr>
            <w:tcW w:w="677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2</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3</w:t>
            </w:r>
          </w:p>
        </w:tc>
        <w:tc>
          <w:tcPr>
            <w:tcW w:w="10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36" w:hRule="atLeast"/>
        </w:trPr>
        <w:tc>
          <w:tcPr>
            <w:tcW w:w="677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47,623.93</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i w:val="0"/>
                <w:color w:val="000000"/>
                <w:kern w:val="0"/>
                <w:sz w:val="22"/>
                <w:szCs w:val="22"/>
                <w:u w:val="none"/>
                <w:lang w:val="en-US" w:eastAsia="zh-CN" w:bidi="ar"/>
              </w:rPr>
              <w:t>43,676.50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i w:val="0"/>
                <w:color w:val="000000"/>
                <w:kern w:val="0"/>
                <w:sz w:val="22"/>
                <w:szCs w:val="22"/>
                <w:u w:val="none"/>
                <w:lang w:val="en-US" w:eastAsia="zh-CN" w:bidi="ar"/>
              </w:rPr>
              <w:t>3,947.43</w:t>
            </w:r>
          </w:p>
        </w:tc>
        <w:tc>
          <w:tcPr>
            <w:tcW w:w="10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一般公共服务支出</w:t>
            </w:r>
          </w:p>
        </w:tc>
        <w:tc>
          <w:tcPr>
            <w:tcW w:w="14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0.11</w:t>
            </w:r>
          </w:p>
        </w:tc>
        <w:tc>
          <w:tcPr>
            <w:tcW w:w="12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0.11</w:t>
            </w:r>
          </w:p>
        </w:tc>
        <w:tc>
          <w:tcPr>
            <w:tcW w:w="12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发展与改革事务</w:t>
            </w:r>
          </w:p>
        </w:tc>
        <w:tc>
          <w:tcPr>
            <w:tcW w:w="14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0.11</w:t>
            </w:r>
          </w:p>
        </w:tc>
        <w:tc>
          <w:tcPr>
            <w:tcW w:w="12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0.11</w:t>
            </w:r>
          </w:p>
        </w:tc>
        <w:tc>
          <w:tcPr>
            <w:tcW w:w="12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1"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2010403</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机关服务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0.11</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5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卫生健康支出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47,207.93</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43,676.40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3,531.53</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卫生健康管理事务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309.35</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264.85</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44.49</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1"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2100101</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264.85</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264.85</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2100102</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44.49</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44.49</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1"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公立医院</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21,140.58</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20,843.58</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297.00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2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2100201</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综合医院</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20,941.13</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20,831.13</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110.00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2"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2100299</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199.45</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12.45</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187.00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1"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基层医疗卫生机构</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16,918.17</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16,918.17</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2100302</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乡镇卫生院</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8,939.88</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8,939.88</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2"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2100399</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其他基层医疗卫生机构支出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7,978.29</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7,978.29</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0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公共卫生</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6,871.62</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5,649.79</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1,221.83</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2100401</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疾病预防控制机构</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195.84</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152.27</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43.57</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2100402</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卫生监督机构</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66.58</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66.58</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2100403</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妇幼保健机构</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2,716.32</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2,716.32</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1"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2100408</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2,378.89</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1,957.94</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420.95</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2"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100.36</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100.36</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2100499</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其他公共卫生支出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1,413.63</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756.68</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656.95</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中医药</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210.00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7"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2100601</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中医（民族医）药专项</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210.00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1"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计划生育事务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1,680.01</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1,680.01</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计划生育服务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1,669.01</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1,669.01</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2"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11.00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51"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其他卫生健康支出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78.19</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78.19</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78.19</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78.19</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1"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农林水支出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293.90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293.90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农业</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180.00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其他农业支出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180.00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扶贫</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113.90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5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社会发展</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113.90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6"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2"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彩票公益金安排的支出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8" w:hRule="atLeast"/>
        </w:trPr>
        <w:tc>
          <w:tcPr>
            <w:tcW w:w="13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2296099</w:t>
            </w:r>
          </w:p>
        </w:tc>
        <w:tc>
          <w:tcPr>
            <w:tcW w:w="546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用于其他社会公益事业的彩票公益金支出</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6" w:hRule="atLeast"/>
        </w:trPr>
        <w:tc>
          <w:tcPr>
            <w:tcW w:w="1380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pPr>
    </w:p>
    <w:tbl>
      <w:tblPr>
        <w:tblStyle w:val="4"/>
        <w:tblW w:w="13095" w:type="dxa"/>
        <w:tblInd w:w="0" w:type="dxa"/>
        <w:shd w:val="clear" w:color="auto" w:fill="auto"/>
        <w:tblLayout w:type="autofit"/>
        <w:tblCellMar>
          <w:top w:w="0" w:type="dxa"/>
          <w:left w:w="0" w:type="dxa"/>
          <w:bottom w:w="0" w:type="dxa"/>
          <w:right w:w="0" w:type="dxa"/>
        </w:tblCellMar>
      </w:tblPr>
      <w:tblGrid>
        <w:gridCol w:w="3538"/>
        <w:gridCol w:w="471"/>
        <w:gridCol w:w="1256"/>
        <w:gridCol w:w="4015"/>
        <w:gridCol w:w="471"/>
        <w:gridCol w:w="1045"/>
        <w:gridCol w:w="1256"/>
        <w:gridCol w:w="1043"/>
      </w:tblGrid>
      <w:tr>
        <w:tblPrEx>
          <w:shd w:val="clear" w:color="auto" w:fill="auto"/>
          <w:tblCellMar>
            <w:top w:w="0" w:type="dxa"/>
            <w:left w:w="0" w:type="dxa"/>
            <w:bottom w:w="0" w:type="dxa"/>
            <w:right w:w="0" w:type="dxa"/>
          </w:tblCellMar>
        </w:tblPrEx>
        <w:trPr>
          <w:trHeight w:val="390" w:hRule="atLeast"/>
        </w:trPr>
        <w:tc>
          <w:tcPr>
            <w:tcW w:w="13095"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公开04表</w:t>
            </w:r>
          </w:p>
        </w:tc>
      </w:tr>
      <w:tr>
        <w:tblPrEx>
          <w:tblCellMar>
            <w:top w:w="0" w:type="dxa"/>
            <w:left w:w="0" w:type="dxa"/>
            <w:bottom w:w="0" w:type="dxa"/>
            <w:right w:w="0" w:type="dxa"/>
          </w:tblCellMar>
        </w:tblPrEx>
        <w:trPr>
          <w:trHeight w:val="255" w:hRule="atLeast"/>
        </w:trPr>
        <w:tc>
          <w:tcPr>
            <w:tcW w:w="0" w:type="auto"/>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部门：栾川县卫生健康委员会</w:t>
            </w:r>
          </w:p>
        </w:tc>
        <w:tc>
          <w:tcPr>
            <w:tcW w:w="0" w:type="auto"/>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0" w:type="auto"/>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1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9,644.44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9,001.36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9,001.36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9,766.44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9,417.36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9,295.36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375.89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375.89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9,793.25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9,793.25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9,671.25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r>
    </w:tbl>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注：本表反映部门本年度一般公共预算财政拨款和政府性基金预算财政拨款的总收支和年末结转结余情况。本表金额转换为万元时，</w:t>
      </w:r>
    </w:p>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因四舍五入可能存在尾差。</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633" w:right="1440" w:bottom="1463" w:left="1440" w:header="720" w:footer="720" w:gutter="0"/>
          <w:pgNumType w:fmt="numberInDash"/>
          <w:cols w:space="720" w:num="1"/>
          <w:docGrid w:type="lines" w:linePitch="312" w:charSpace="0"/>
        </w:sectPr>
      </w:pPr>
    </w:p>
    <w:tbl>
      <w:tblPr>
        <w:tblStyle w:val="4"/>
        <w:tblW w:w="13542" w:type="dxa"/>
        <w:tblInd w:w="0" w:type="dxa"/>
        <w:shd w:val="clear" w:color="auto" w:fill="auto"/>
        <w:tblLayout w:type="fixed"/>
        <w:tblCellMar>
          <w:top w:w="0" w:type="dxa"/>
          <w:left w:w="0" w:type="dxa"/>
          <w:bottom w:w="0" w:type="dxa"/>
          <w:right w:w="0" w:type="dxa"/>
        </w:tblCellMar>
      </w:tblPr>
      <w:tblGrid>
        <w:gridCol w:w="1074"/>
        <w:gridCol w:w="6048"/>
        <w:gridCol w:w="2130"/>
        <w:gridCol w:w="2100"/>
        <w:gridCol w:w="1815"/>
        <w:gridCol w:w="375"/>
      </w:tblGrid>
      <w:tr>
        <w:tblPrEx>
          <w:shd w:val="clear" w:color="auto" w:fill="auto"/>
          <w:tblCellMar>
            <w:top w:w="0" w:type="dxa"/>
            <w:left w:w="0" w:type="dxa"/>
            <w:bottom w:w="0" w:type="dxa"/>
            <w:right w:w="0" w:type="dxa"/>
          </w:tblCellMar>
        </w:tblPrEx>
        <w:trPr>
          <w:trHeight w:val="390" w:hRule="atLeast"/>
        </w:trPr>
        <w:tc>
          <w:tcPr>
            <w:tcW w:w="13542"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13542"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公开05表</w:t>
            </w:r>
          </w:p>
        </w:tc>
      </w:tr>
      <w:tr>
        <w:tblPrEx>
          <w:tblCellMar>
            <w:top w:w="0" w:type="dxa"/>
            <w:left w:w="0" w:type="dxa"/>
            <w:bottom w:w="0" w:type="dxa"/>
            <w:right w:w="0" w:type="dxa"/>
          </w:tblCellMar>
        </w:tblPrEx>
        <w:trPr>
          <w:trHeight w:val="255" w:hRule="atLeast"/>
        </w:trPr>
        <w:tc>
          <w:tcPr>
            <w:tcW w:w="712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部门：栾川县卫生健康委员会</w:t>
            </w:r>
          </w:p>
        </w:tc>
        <w:tc>
          <w:tcPr>
            <w:tcW w:w="6420"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CellMar>
            <w:top w:w="0" w:type="dxa"/>
            <w:left w:w="0" w:type="dxa"/>
            <w:bottom w:w="0" w:type="dxa"/>
            <w:right w:w="0" w:type="dxa"/>
          </w:tblCellMar>
        </w:tblPrEx>
        <w:trPr>
          <w:trHeight w:val="308" w:hRule="atLeast"/>
        </w:trPr>
        <w:tc>
          <w:tcPr>
            <w:tcW w:w="71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4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小计</w:t>
            </w:r>
          </w:p>
        </w:tc>
        <w:tc>
          <w:tcPr>
            <w:tcW w:w="2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1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712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712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9,295.36</w:t>
            </w:r>
          </w:p>
        </w:tc>
        <w:tc>
          <w:tcPr>
            <w:tcW w:w="2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5,469.93</w:t>
            </w:r>
          </w:p>
        </w:tc>
        <w:tc>
          <w:tcPr>
            <w:tcW w:w="21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3,825.43</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04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一般公共服务支出</w:t>
            </w:r>
          </w:p>
        </w:tc>
        <w:tc>
          <w:tcPr>
            <w:tcW w:w="21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0.11</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604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发展与改革事务</w:t>
            </w:r>
          </w:p>
        </w:tc>
        <w:tc>
          <w:tcPr>
            <w:tcW w:w="21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0.11</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2010403</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机关服务</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0.11</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9,001.36</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5,469.83</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3,531.53</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卫生健康管理事务</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309.35</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264.85</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44.49</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2100101</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264.85</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264.85</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2100102</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44.49</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44.49</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公立医院</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590.31</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293.31</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2100201</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综合医院</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390.86</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280.86</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2100299</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199.45</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基层医疗卫生机构</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1,932.44</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1,932.44</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2100302</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乡镇卫生院</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1,163.88</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1,163.88</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2100399</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其他基层医疗卫生机构支出</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768.56</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768.56</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4,201.06</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2,979.23</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1,221.83</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2100401</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疾病预防控制机构</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195.84</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152.27</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43.57</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2100402</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卫生监督机构</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66.58</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66.58</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2100403</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妇幼保健机构</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45.76</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45.76</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2100408</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2,378.89</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1,957.94</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420.95</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100.36</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100.36</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2100499</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其他公共卫生支出</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1,413.63</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756.68</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656.95</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中医药</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210.00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2100601</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中医（民族医）药专项</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210.00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1,680.01</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1,680.01</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计划生育服务</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1,669.01</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1,669.01</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11.00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其他卫生健康支出</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78.19</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78.19</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78.19</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78.19</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293.90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293.90</w:t>
            </w:r>
          </w:p>
        </w:tc>
      </w:tr>
      <w:tr>
        <w:tblPrEx>
          <w:tblCellMar>
            <w:top w:w="0" w:type="dxa"/>
            <w:left w:w="0" w:type="dxa"/>
            <w:bottom w:w="0" w:type="dxa"/>
            <w:right w:w="0" w:type="dxa"/>
          </w:tblCellMar>
        </w:tblPrEx>
        <w:trPr>
          <w:trHeight w:val="90"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180.00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其他农业支出</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180.00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113.90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w:t>
            </w:r>
          </w:p>
        </w:tc>
      </w:tr>
      <w:tr>
        <w:tblPrEx>
          <w:tblCellMar>
            <w:top w:w="0" w:type="dxa"/>
            <w:left w:w="0" w:type="dxa"/>
            <w:bottom w:w="0" w:type="dxa"/>
            <w:right w:w="0" w:type="dxa"/>
          </w:tblCellMar>
        </w:tblPrEx>
        <w:trPr>
          <w:trHeight w:val="308" w:hRule="atLeast"/>
        </w:trPr>
        <w:tc>
          <w:tcPr>
            <w:tcW w:w="10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60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社会发展</w:t>
            </w:r>
          </w:p>
        </w:tc>
        <w:tc>
          <w:tcPr>
            <w:tcW w:w="2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113.90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w:t>
            </w:r>
          </w:p>
        </w:tc>
      </w:tr>
      <w:tr>
        <w:tblPrEx>
          <w:tblCellMar>
            <w:top w:w="0" w:type="dxa"/>
            <w:left w:w="0" w:type="dxa"/>
            <w:bottom w:w="0" w:type="dxa"/>
            <w:right w:w="0" w:type="dxa"/>
          </w:tblCellMar>
        </w:tblPrEx>
        <w:trPr>
          <w:gridAfter w:val="1"/>
          <w:wAfter w:w="375" w:type="dxa"/>
          <w:trHeight w:val="308" w:hRule="atLeast"/>
        </w:trPr>
        <w:tc>
          <w:tcPr>
            <w:tcW w:w="13167"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4"/>
        <w:tblW w:w="13812" w:type="dxa"/>
        <w:tblInd w:w="0" w:type="dxa"/>
        <w:shd w:val="clear" w:color="auto" w:fill="auto"/>
        <w:tblLayout w:type="fixed"/>
        <w:tblCellMar>
          <w:top w:w="0" w:type="dxa"/>
          <w:left w:w="0" w:type="dxa"/>
          <w:bottom w:w="0" w:type="dxa"/>
          <w:right w:w="0" w:type="dxa"/>
        </w:tblCellMar>
      </w:tblPr>
      <w:tblGrid>
        <w:gridCol w:w="13812"/>
      </w:tblGrid>
      <w:tr>
        <w:tblPrEx>
          <w:shd w:val="clear" w:color="auto" w:fill="auto"/>
          <w:tblCellMar>
            <w:top w:w="0" w:type="dxa"/>
            <w:left w:w="0" w:type="dxa"/>
            <w:bottom w:w="0" w:type="dxa"/>
            <w:right w:w="0" w:type="dxa"/>
          </w:tblCellMar>
        </w:tblPrEx>
        <w:trPr>
          <w:trHeight w:val="322" w:hRule="atLeast"/>
        </w:trPr>
        <w:tc>
          <w:tcPr>
            <w:tcW w:w="13812" w:type="dxa"/>
            <w:tcBorders>
              <w:top w:val="nil"/>
              <w:left w:val="nil"/>
              <w:bottom w:val="nil"/>
              <w:right w:val="nil"/>
            </w:tcBorders>
            <w:shd w:val="clear" w:color="auto" w:fill="auto"/>
            <w:noWrap/>
            <w:tcMar>
              <w:top w:w="15" w:type="dxa"/>
              <w:left w:w="15" w:type="dxa"/>
              <w:right w:w="15" w:type="dxa"/>
            </w:tcMar>
            <w:vAlign w:val="center"/>
          </w:tcPr>
          <w:tbl>
            <w:tblPr>
              <w:tblStyle w:val="4"/>
              <w:tblW w:w="13787" w:type="dxa"/>
              <w:tblInd w:w="-20" w:type="dxa"/>
              <w:shd w:val="clear" w:color="auto" w:fill="auto"/>
              <w:tblLayout w:type="fixed"/>
              <w:tblCellMar>
                <w:top w:w="0" w:type="dxa"/>
                <w:left w:w="0" w:type="dxa"/>
                <w:bottom w:w="0" w:type="dxa"/>
                <w:right w:w="0" w:type="dxa"/>
              </w:tblCellMar>
            </w:tblPr>
            <w:tblGrid>
              <w:gridCol w:w="5"/>
              <w:gridCol w:w="937"/>
              <w:gridCol w:w="2790"/>
              <w:gridCol w:w="1140"/>
              <w:gridCol w:w="975"/>
              <w:gridCol w:w="2235"/>
              <w:gridCol w:w="1110"/>
              <w:gridCol w:w="975"/>
              <w:gridCol w:w="2565"/>
              <w:gridCol w:w="1050"/>
              <w:gridCol w:w="5"/>
            </w:tblGrid>
            <w:tr>
              <w:tblPrEx>
                <w:shd w:val="clear" w:color="auto" w:fill="auto"/>
                <w:tblCellMar>
                  <w:top w:w="0" w:type="dxa"/>
                  <w:left w:w="0" w:type="dxa"/>
                  <w:bottom w:w="0" w:type="dxa"/>
                  <w:right w:w="0" w:type="dxa"/>
                </w:tblCellMar>
              </w:tblPrEx>
              <w:trPr>
                <w:gridBefore w:val="1"/>
                <w:wBefore w:w="5" w:type="dxa"/>
                <w:trHeight w:val="390" w:hRule="atLeast"/>
              </w:trPr>
              <w:tc>
                <w:tcPr>
                  <w:tcW w:w="13782"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gridBefore w:val="1"/>
                <w:wBefore w:w="5" w:type="dxa"/>
                <w:trHeight w:val="255" w:hRule="atLeast"/>
              </w:trPr>
              <w:tc>
                <w:tcPr>
                  <w:tcW w:w="13782"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公开06表</w:t>
                  </w:r>
                </w:p>
              </w:tc>
            </w:tr>
            <w:tr>
              <w:tblPrEx>
                <w:tblCellMar>
                  <w:top w:w="0" w:type="dxa"/>
                  <w:left w:w="0" w:type="dxa"/>
                  <w:bottom w:w="0" w:type="dxa"/>
                  <w:right w:w="0" w:type="dxa"/>
                </w:tblCellMar>
              </w:tblPrEx>
              <w:trPr>
                <w:gridBefore w:val="1"/>
                <w:wBefore w:w="5" w:type="dxa"/>
                <w:trHeight w:val="255" w:hRule="atLeast"/>
              </w:trPr>
              <w:tc>
                <w:tcPr>
                  <w:tcW w:w="5842"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部门：栾川县卫生健康委员会</w:t>
                  </w:r>
                </w:p>
              </w:tc>
              <w:tc>
                <w:tcPr>
                  <w:tcW w:w="7940"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金额单位：万元</w:t>
                  </w:r>
                </w:p>
              </w:tc>
            </w:tr>
            <w:tr>
              <w:tblPrEx>
                <w:tblCellMar>
                  <w:top w:w="0" w:type="dxa"/>
                  <w:left w:w="0" w:type="dxa"/>
                  <w:bottom w:w="0" w:type="dxa"/>
                  <w:right w:w="0" w:type="dxa"/>
                </w:tblCellMar>
              </w:tblPrEx>
              <w:trPr>
                <w:gridAfter w:val="1"/>
                <w:wAfter w:w="5" w:type="dxa"/>
                <w:trHeight w:val="308" w:hRule="atLeast"/>
              </w:trPr>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91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gridAfter w:val="1"/>
                <w:wAfter w:w="5" w:type="dxa"/>
                <w:trHeight w:val="308" w:hRule="atLeast"/>
              </w:trPr>
              <w:tc>
                <w:tcPr>
                  <w:tcW w:w="94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7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2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5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gridAfter w:val="1"/>
                <w:wAfter w:w="5" w:type="dxa"/>
                <w:trHeight w:val="308" w:hRule="atLeast"/>
              </w:trPr>
              <w:tc>
                <w:tcPr>
                  <w:tcW w:w="94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7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5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2,732.49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2,075.34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1,455.89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863.30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58.29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65.59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629.11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439.90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603.74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297.70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955.66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5" w:type="dxa"/>
                <w:trHeight w:val="308" w:hRule="atLeast"/>
              </w:trPr>
              <w:tc>
                <w:tcPr>
                  <w:tcW w:w="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2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5" w:type="dxa"/>
                <w:trHeight w:val="308" w:hRule="atLeast"/>
              </w:trPr>
              <w:tc>
                <w:tcPr>
                  <w:tcW w:w="37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3,361.60</w:t>
                  </w:r>
                </w:p>
              </w:tc>
              <w:tc>
                <w:tcPr>
                  <w:tcW w:w="786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2,108.34</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746" w:right="1440" w:bottom="1519" w:left="1440" w:header="720" w:footer="720" w:gutter="0"/>
          <w:pgNumType w:fmt="numberInDash"/>
          <w:cols w:space="720" w:num="1"/>
          <w:docGrid w:type="lines" w:linePitch="312" w:charSpace="0"/>
        </w:sectPr>
      </w:pPr>
    </w:p>
    <w:tbl>
      <w:tblPr>
        <w:tblStyle w:val="4"/>
        <w:tblW w:w="13660" w:type="dxa"/>
        <w:tblInd w:w="0" w:type="dxa"/>
        <w:tblLayout w:type="fixed"/>
        <w:tblCellMar>
          <w:top w:w="0" w:type="dxa"/>
          <w:left w:w="0" w:type="dxa"/>
          <w:bottom w:w="0" w:type="dxa"/>
          <w:right w:w="0" w:type="dxa"/>
        </w:tblCellMar>
      </w:tblPr>
      <w:tblGrid>
        <w:gridCol w:w="1276"/>
        <w:gridCol w:w="1009"/>
        <w:gridCol w:w="1157"/>
        <w:gridCol w:w="964"/>
        <w:gridCol w:w="1143"/>
        <w:gridCol w:w="1069"/>
        <w:gridCol w:w="1053"/>
        <w:gridCol w:w="1157"/>
        <w:gridCol w:w="1127"/>
        <w:gridCol w:w="1380"/>
        <w:gridCol w:w="1069"/>
        <w:gridCol w:w="1256"/>
      </w:tblGrid>
      <w:tr>
        <w:tblPrEx>
          <w:tblCellMar>
            <w:top w:w="0" w:type="dxa"/>
            <w:left w:w="0" w:type="dxa"/>
            <w:bottom w:w="0" w:type="dxa"/>
            <w:right w:w="0" w:type="dxa"/>
          </w:tblCellMar>
        </w:tblPrEx>
        <w:trPr>
          <w:trHeight w:val="640" w:hRule="atLeast"/>
        </w:trPr>
        <w:tc>
          <w:tcPr>
            <w:tcW w:w="13660" w:type="dxa"/>
            <w:gridSpan w:val="12"/>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ascii="华文中宋" w:hAnsi="华文中宋" w:eastAsia="华文中宋" w:cs="华文中宋"/>
                <w:color w:val="000000"/>
                <w:sz w:val="32"/>
                <w:szCs w:val="32"/>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CellMar>
            <w:top w:w="0" w:type="dxa"/>
            <w:left w:w="0" w:type="dxa"/>
            <w:bottom w:w="0" w:type="dxa"/>
            <w:right w:w="0" w:type="dxa"/>
          </w:tblCellMar>
        </w:tblPrEx>
        <w:trPr>
          <w:trHeight w:val="327" w:hRule="atLeast"/>
        </w:trPr>
        <w:tc>
          <w:tcPr>
            <w:tcW w:w="13660" w:type="dxa"/>
            <w:gridSpan w:val="12"/>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
              </w:rPr>
              <w:t xml:space="preserve">                                                                                                         公开07表</w:t>
            </w:r>
          </w:p>
        </w:tc>
      </w:tr>
      <w:tr>
        <w:tblPrEx>
          <w:tblCellMar>
            <w:top w:w="0" w:type="dxa"/>
            <w:left w:w="0" w:type="dxa"/>
            <w:bottom w:w="0" w:type="dxa"/>
            <w:right w:w="0" w:type="dxa"/>
          </w:tblCellMar>
        </w:tblPrEx>
        <w:trPr>
          <w:trHeight w:val="327" w:hRule="atLeast"/>
        </w:trPr>
        <w:tc>
          <w:tcPr>
            <w:tcW w:w="6618" w:type="dxa"/>
            <w:gridSpan w:val="6"/>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
              </w:rPr>
              <w:t>部门：栾川县卫生健康委员会</w:t>
            </w:r>
          </w:p>
        </w:tc>
        <w:tc>
          <w:tcPr>
            <w:tcW w:w="7042" w:type="dxa"/>
            <w:gridSpan w:val="6"/>
            <w:tcBorders>
              <w:top w:val="nil"/>
              <w:left w:val="nil"/>
              <w:bottom w:val="single" w:color="000000" w:sz="8" w:space="0"/>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CellMar>
            <w:top w:w="0" w:type="dxa"/>
            <w:left w:w="0" w:type="dxa"/>
            <w:bottom w:w="0" w:type="dxa"/>
            <w:right w:w="0" w:type="dxa"/>
          </w:tblCellMar>
        </w:tblPrEx>
        <w:trPr>
          <w:trHeight w:val="595" w:hRule="atLeast"/>
        </w:trPr>
        <w:tc>
          <w:tcPr>
            <w:tcW w:w="6618"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预算数</w:t>
            </w:r>
          </w:p>
        </w:tc>
        <w:tc>
          <w:tcPr>
            <w:tcW w:w="7042"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626" w:hRule="atLeast"/>
        </w:trPr>
        <w:tc>
          <w:tcPr>
            <w:tcW w:w="1276"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合计</w:t>
            </w:r>
          </w:p>
        </w:tc>
        <w:tc>
          <w:tcPr>
            <w:tcW w:w="10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因公出国（境）费</w:t>
            </w:r>
          </w:p>
        </w:tc>
        <w:tc>
          <w:tcPr>
            <w:tcW w:w="32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公务用车购置及运行费</w:t>
            </w: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公务接待费</w:t>
            </w:r>
          </w:p>
        </w:tc>
        <w:tc>
          <w:tcPr>
            <w:tcW w:w="10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合计</w:t>
            </w:r>
          </w:p>
        </w:tc>
        <w:tc>
          <w:tcPr>
            <w:tcW w:w="1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因公出国（境）费</w:t>
            </w:r>
          </w:p>
        </w:tc>
        <w:tc>
          <w:tcPr>
            <w:tcW w:w="35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公务用车购置及运行费</w:t>
            </w:r>
          </w:p>
        </w:tc>
        <w:tc>
          <w:tcPr>
            <w:tcW w:w="1256"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650" w:hRule="atLeast"/>
        </w:trPr>
        <w:tc>
          <w:tcPr>
            <w:tcW w:w="127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小计</w:t>
            </w:r>
          </w:p>
        </w:tc>
        <w:tc>
          <w:tcPr>
            <w:tcW w:w="96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公务用车购置费</w:t>
            </w:r>
          </w:p>
        </w:tc>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公务用车运行费</w:t>
            </w:r>
          </w:p>
        </w:tc>
        <w:tc>
          <w:tcPr>
            <w:tcW w:w="106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05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15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小计</w:t>
            </w:r>
          </w:p>
        </w:tc>
        <w:tc>
          <w:tcPr>
            <w:tcW w:w="138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公务用车购置费</w:t>
            </w:r>
          </w:p>
        </w:tc>
        <w:tc>
          <w:tcPr>
            <w:tcW w:w="106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公务用车运行费</w:t>
            </w:r>
          </w:p>
        </w:tc>
        <w:tc>
          <w:tcPr>
            <w:tcW w:w="125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85" w:hRule="atLeast"/>
        </w:trPr>
        <w:tc>
          <w:tcPr>
            <w:tcW w:w="127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4</w:t>
            </w:r>
          </w:p>
        </w:tc>
        <w:tc>
          <w:tcPr>
            <w:tcW w:w="11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6</w:t>
            </w:r>
          </w:p>
        </w:tc>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7</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8</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882" w:hRule="atLeast"/>
        </w:trPr>
        <w:tc>
          <w:tcPr>
            <w:tcW w:w="127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20"/>
                <w:szCs w:val="20"/>
                <w:lang w:val="en-US"/>
              </w:rPr>
            </w:pPr>
            <w:r>
              <w:rPr>
                <w:rFonts w:hint="eastAsia" w:ascii="宋体" w:hAnsi="宋体" w:eastAsia="宋体" w:cs="宋体"/>
                <w:i w:val="0"/>
                <w:color w:val="000000"/>
                <w:kern w:val="0"/>
                <w:sz w:val="22"/>
                <w:szCs w:val="22"/>
                <w:u w:val="none"/>
                <w:lang w:val="en-US" w:eastAsia="zh-CN" w:bidi="ar"/>
              </w:rPr>
              <w:t>85.42</w:t>
            </w:r>
          </w:p>
        </w:tc>
        <w:tc>
          <w:tcPr>
            <w:tcW w:w="10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15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20"/>
                <w:szCs w:val="20"/>
                <w:lang w:val="en-US"/>
              </w:rPr>
            </w:pPr>
            <w:r>
              <w:rPr>
                <w:rFonts w:hint="eastAsia" w:ascii="宋体" w:hAnsi="宋体" w:eastAsia="宋体" w:cs="宋体"/>
                <w:i w:val="0"/>
                <w:color w:val="000000"/>
                <w:kern w:val="0"/>
                <w:sz w:val="22"/>
                <w:szCs w:val="22"/>
                <w:u w:val="none"/>
                <w:lang w:val="en-US" w:eastAsia="zh-CN" w:bidi="ar"/>
              </w:rPr>
              <w:t>77.35</w:t>
            </w:r>
          </w:p>
        </w:tc>
        <w:tc>
          <w:tcPr>
            <w:tcW w:w="96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15</w:t>
            </w:r>
          </w:p>
        </w:tc>
        <w:tc>
          <w:tcPr>
            <w:tcW w:w="114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20"/>
                <w:szCs w:val="20"/>
                <w:lang w:val="en-US"/>
              </w:rPr>
            </w:pPr>
            <w:r>
              <w:rPr>
                <w:rFonts w:hint="eastAsia" w:ascii="宋体" w:hAnsi="宋体" w:eastAsia="宋体" w:cs="宋体"/>
                <w:i w:val="0"/>
                <w:color w:val="000000"/>
                <w:kern w:val="0"/>
                <w:sz w:val="22"/>
                <w:szCs w:val="22"/>
                <w:u w:val="none"/>
                <w:lang w:val="en-US" w:eastAsia="zh-CN" w:bidi="ar"/>
              </w:rPr>
              <w:t>62.35</w:t>
            </w:r>
          </w:p>
        </w:tc>
        <w:tc>
          <w:tcPr>
            <w:tcW w:w="106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20"/>
                <w:szCs w:val="20"/>
                <w:lang w:val="en-US"/>
              </w:rPr>
            </w:pPr>
            <w:r>
              <w:rPr>
                <w:rFonts w:hint="eastAsia" w:ascii="宋体" w:hAnsi="宋体" w:eastAsia="宋体" w:cs="宋体"/>
                <w:i w:val="0"/>
                <w:color w:val="000000"/>
                <w:kern w:val="0"/>
                <w:sz w:val="22"/>
                <w:szCs w:val="22"/>
                <w:u w:val="none"/>
                <w:lang w:val="en-US" w:eastAsia="zh-CN" w:bidi="ar"/>
              </w:rPr>
              <w:t>8.06</w:t>
            </w:r>
          </w:p>
        </w:tc>
        <w:tc>
          <w:tcPr>
            <w:tcW w:w="10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64.10</w:t>
            </w:r>
          </w:p>
        </w:tc>
        <w:tc>
          <w:tcPr>
            <w:tcW w:w="115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1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57.78</w:t>
            </w:r>
          </w:p>
        </w:tc>
        <w:tc>
          <w:tcPr>
            <w:tcW w:w="13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15.00</w:t>
            </w:r>
          </w:p>
        </w:tc>
        <w:tc>
          <w:tcPr>
            <w:tcW w:w="106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42.78</w:t>
            </w:r>
          </w:p>
        </w:tc>
        <w:tc>
          <w:tcPr>
            <w:tcW w:w="125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6.32</w:t>
            </w:r>
          </w:p>
        </w:tc>
      </w:tr>
      <w:tr>
        <w:tblPrEx>
          <w:tblCellMar>
            <w:top w:w="0" w:type="dxa"/>
            <w:left w:w="0" w:type="dxa"/>
            <w:bottom w:w="0" w:type="dxa"/>
            <w:right w:w="0" w:type="dxa"/>
          </w:tblCellMar>
        </w:tblPrEx>
        <w:trPr>
          <w:trHeight w:val="937" w:hRule="atLeast"/>
        </w:trPr>
        <w:tc>
          <w:tcPr>
            <w:tcW w:w="13660" w:type="dxa"/>
            <w:gridSpan w:val="12"/>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4"/>
        <w:tblW w:w="13660" w:type="dxa"/>
        <w:tblInd w:w="0" w:type="dxa"/>
        <w:shd w:val="clear" w:color="auto" w:fill="auto"/>
        <w:tblLayout w:type="fixed"/>
        <w:tblCellMar>
          <w:top w:w="0" w:type="dxa"/>
          <w:left w:w="0" w:type="dxa"/>
          <w:bottom w:w="0" w:type="dxa"/>
          <w:right w:w="0" w:type="dxa"/>
        </w:tblCellMar>
      </w:tblPr>
      <w:tblGrid>
        <w:gridCol w:w="769"/>
        <w:gridCol w:w="4406"/>
        <w:gridCol w:w="1290"/>
        <w:gridCol w:w="1290"/>
        <w:gridCol w:w="1590"/>
        <w:gridCol w:w="1275"/>
        <w:gridCol w:w="1455"/>
        <w:gridCol w:w="1585"/>
      </w:tblGrid>
      <w:tr>
        <w:tblPrEx>
          <w:shd w:val="clear" w:color="auto" w:fill="auto"/>
          <w:tblCellMar>
            <w:top w:w="0" w:type="dxa"/>
            <w:left w:w="0" w:type="dxa"/>
            <w:bottom w:w="0" w:type="dxa"/>
            <w:right w:w="0" w:type="dxa"/>
          </w:tblCellMar>
        </w:tblPrEx>
        <w:trPr>
          <w:trHeight w:val="390" w:hRule="atLeast"/>
        </w:trPr>
        <w:tc>
          <w:tcPr>
            <w:tcW w:w="136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136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公开08表</w:t>
            </w:r>
          </w:p>
        </w:tc>
      </w:tr>
      <w:tr>
        <w:tblPrEx>
          <w:tblCellMar>
            <w:top w:w="0" w:type="dxa"/>
            <w:left w:w="0" w:type="dxa"/>
            <w:bottom w:w="0" w:type="dxa"/>
            <w:right w:w="0" w:type="dxa"/>
          </w:tblCellMar>
        </w:tblPrEx>
        <w:trPr>
          <w:trHeight w:val="255" w:hRule="atLeast"/>
        </w:trPr>
        <w:tc>
          <w:tcPr>
            <w:tcW w:w="6465"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部门：栾川县卫生健康委员会</w:t>
            </w:r>
          </w:p>
        </w:tc>
        <w:tc>
          <w:tcPr>
            <w:tcW w:w="7195"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CellMar>
            <w:top w:w="0" w:type="dxa"/>
            <w:left w:w="0" w:type="dxa"/>
            <w:bottom w:w="0" w:type="dxa"/>
            <w:right w:w="0" w:type="dxa"/>
          </w:tblCellMar>
        </w:tblPrEx>
        <w:trPr>
          <w:trHeight w:val="308" w:hRule="atLeast"/>
        </w:trPr>
        <w:tc>
          <w:tcPr>
            <w:tcW w:w="5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年初结转和结余</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本年收入</w:t>
            </w: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5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7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4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科目名称</w:t>
            </w:r>
          </w:p>
        </w:tc>
        <w:tc>
          <w:tcPr>
            <w:tcW w:w="12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小计</w:t>
            </w: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项目支出</w:t>
            </w:r>
          </w:p>
        </w:tc>
        <w:tc>
          <w:tcPr>
            <w:tcW w:w="15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17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2</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3</w:t>
            </w: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5</w:t>
            </w:r>
          </w:p>
        </w:tc>
        <w:tc>
          <w:tcPr>
            <w:tcW w:w="15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517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i w:val="0"/>
                <w:color w:val="000000"/>
                <w:kern w:val="0"/>
                <w:sz w:val="22"/>
                <w:szCs w:val="22"/>
                <w:u w:val="none"/>
                <w:lang w:val="en-US" w:eastAsia="zh-CN" w:bidi="ar"/>
              </w:rPr>
              <w:t>122.00</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i w:val="0"/>
                <w:color w:val="000000"/>
                <w:kern w:val="0"/>
                <w:sz w:val="22"/>
                <w:szCs w:val="22"/>
                <w:u w:val="none"/>
                <w:lang w:val="en-US" w:eastAsia="zh-CN" w:bidi="ar"/>
              </w:rPr>
              <w:t>122.00</w:t>
            </w: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i w:val="0"/>
                <w:color w:val="000000"/>
                <w:kern w:val="0"/>
                <w:sz w:val="22"/>
                <w:szCs w:val="22"/>
                <w:u w:val="none"/>
                <w:lang w:val="en-US" w:eastAsia="zh-CN" w:bidi="ar"/>
              </w:rPr>
              <w:t>122.00</w:t>
            </w:r>
          </w:p>
        </w:tc>
        <w:tc>
          <w:tcPr>
            <w:tcW w:w="15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其他支出</w:t>
            </w:r>
          </w:p>
        </w:tc>
        <w:tc>
          <w:tcPr>
            <w:tcW w:w="12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122.00</w:t>
            </w:r>
          </w:p>
        </w:tc>
        <w:tc>
          <w:tcPr>
            <w:tcW w:w="15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1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4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彩票公益金安排的支出</w:t>
            </w:r>
          </w:p>
        </w:tc>
        <w:tc>
          <w:tcPr>
            <w:tcW w:w="12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122.00</w:t>
            </w:r>
          </w:p>
        </w:tc>
        <w:tc>
          <w:tcPr>
            <w:tcW w:w="15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1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2296099</w:t>
            </w:r>
          </w:p>
        </w:tc>
        <w:tc>
          <w:tcPr>
            <w:tcW w:w="4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 xml:space="preserve">  用于其他社会公益事业的彩票公益金支出</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122.00</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122.00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w:t>
            </w:r>
          </w:p>
        </w:tc>
        <w:tc>
          <w:tcPr>
            <w:tcW w:w="1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366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2019年度收、支总计均为</w:t>
      </w:r>
      <w:r>
        <w:rPr>
          <w:rFonts w:hint="eastAsia" w:ascii="仿宋_GB2312" w:hAnsi="仿宋_GB2312" w:eastAsia="仿宋_GB2312" w:cs="仿宋_GB2312"/>
          <w:sz w:val="32"/>
          <w:szCs w:val="32"/>
          <w:lang w:val="en-US" w:eastAsia="zh-CN"/>
        </w:rPr>
        <w:t>48391.55</w:t>
      </w:r>
      <w:r>
        <w:rPr>
          <w:rFonts w:hint="eastAsia" w:ascii="仿宋_GB2312" w:hAnsi="仿宋_GB2312" w:eastAsia="仿宋_GB2312" w:cs="仿宋_GB2312"/>
          <w:sz w:val="32"/>
          <w:szCs w:val="32"/>
        </w:rPr>
        <w:t>万元。与上年度相比，收、支总计各增加</w:t>
      </w:r>
      <w:r>
        <w:rPr>
          <w:rFonts w:hint="eastAsia" w:ascii="仿宋_GB2312" w:hAnsi="仿宋_GB2312" w:eastAsia="仿宋_GB2312" w:cs="仿宋_GB2312"/>
          <w:sz w:val="32"/>
          <w:szCs w:val="32"/>
          <w:lang w:val="en-US" w:eastAsia="zh-CN"/>
        </w:rPr>
        <w:t>4228.6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9.57</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color w:val="auto"/>
          <w:sz w:val="32"/>
          <w:szCs w:val="32"/>
          <w:highlight w:val="none"/>
          <w:lang w:val="en-US" w:eastAsia="zh-CN"/>
        </w:rPr>
        <w:t>政府对卫生健康系统财政资金投入增加</w:t>
      </w:r>
      <w:r>
        <w:rPr>
          <w:rFonts w:hint="eastAsia" w:ascii="仿宋_GB2312" w:hAnsi="仿宋_GB2312" w:eastAsia="仿宋_GB2312" w:cs="仿宋_GB2312"/>
          <w:sz w:val="32"/>
          <w:szCs w:val="32"/>
          <w:lang w:eastAsia="zh-CN"/>
        </w:rPr>
        <w:t>，以及医疗机构业务收入增加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2019年度收入合计</w:t>
      </w:r>
      <w:r>
        <w:rPr>
          <w:rFonts w:hint="eastAsia" w:ascii="仿宋_GB2312" w:hAnsi="仿宋_GB2312" w:eastAsia="仿宋_GB2312" w:cs="仿宋_GB2312"/>
          <w:sz w:val="32"/>
          <w:szCs w:val="32"/>
          <w:lang w:val="en-US" w:eastAsia="zh-CN"/>
        </w:rPr>
        <w:t>48012.91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9766.44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20.34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38246.46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79.66</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2019年度支出合计</w:t>
      </w:r>
      <w:r>
        <w:rPr>
          <w:rFonts w:hint="eastAsia" w:ascii="仿宋_GB2312" w:hAnsi="仿宋_GB2312" w:eastAsia="仿宋_GB2312" w:cs="仿宋_GB2312"/>
          <w:sz w:val="32"/>
          <w:szCs w:val="32"/>
          <w:lang w:val="en-US" w:eastAsia="zh-CN"/>
        </w:rPr>
        <w:t>47623.93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43676.5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91.71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3947.43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2019年度财政拨款收、支总计均为</w:t>
      </w:r>
      <w:r>
        <w:rPr>
          <w:rFonts w:hint="eastAsia" w:ascii="仿宋_GB2312" w:hAnsi="仿宋_GB2312" w:eastAsia="仿宋_GB2312" w:cs="仿宋_GB2312"/>
          <w:sz w:val="32"/>
          <w:szCs w:val="32"/>
          <w:lang w:val="en-US" w:eastAsia="zh-CN"/>
        </w:rPr>
        <w:t>9793.25</w:t>
      </w:r>
      <w:r>
        <w:rPr>
          <w:rFonts w:hint="eastAsia" w:ascii="仿宋_GB2312" w:hAnsi="仿宋_GB2312" w:eastAsia="仿宋_GB2312" w:cs="仿宋_GB2312"/>
          <w:sz w:val="32"/>
          <w:szCs w:val="32"/>
        </w:rPr>
        <w:t>万元。与上年度相比，财政拨款收、支总计各增加</w:t>
      </w:r>
      <w:r>
        <w:rPr>
          <w:rFonts w:hint="eastAsia" w:ascii="仿宋_GB2312" w:hAnsi="仿宋_GB2312" w:eastAsia="仿宋_GB2312" w:cs="仿宋_GB2312"/>
          <w:sz w:val="32"/>
          <w:szCs w:val="32"/>
          <w:lang w:val="en-US" w:eastAsia="zh-CN"/>
        </w:rPr>
        <w:t>766.74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8.49</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color w:val="auto"/>
          <w:sz w:val="32"/>
          <w:szCs w:val="32"/>
          <w:highlight w:val="none"/>
          <w:lang w:val="en-US" w:eastAsia="zh-CN"/>
        </w:rPr>
        <w:t>政府对卫生健康系统财政资金投入增加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w:t>
      </w:r>
      <w:r>
        <w:rPr>
          <w:rFonts w:hint="eastAsia" w:ascii="仿宋_GB2312" w:hAnsi="仿宋_GB2312" w:eastAsia="仿宋_GB2312" w:cs="仿宋_GB2312"/>
          <w:sz w:val="32"/>
          <w:szCs w:val="32"/>
          <w:lang w:val="en-US" w:eastAsia="zh-CN"/>
        </w:rPr>
        <w:t>9295.36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19.52</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cs="仿宋_GB2312"/>
          <w:sz w:val="32"/>
          <w:szCs w:val="32"/>
          <w:lang w:val="en-US" w:eastAsia="zh-CN"/>
        </w:rPr>
        <w:t>359.82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医疗机构项目支出增加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w:t>
      </w:r>
      <w:r>
        <w:rPr>
          <w:rFonts w:hint="eastAsia" w:ascii="仿宋_GB2312" w:hAnsi="仿宋_GB2312" w:eastAsia="仿宋_GB2312" w:cs="仿宋_GB2312"/>
          <w:sz w:val="32"/>
          <w:szCs w:val="32"/>
          <w:lang w:val="en-US" w:eastAsia="zh-CN"/>
        </w:rPr>
        <w:t>9295.36</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9001.36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96.84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；农林水（类）支出</w:t>
      </w:r>
      <w:r>
        <w:rPr>
          <w:rFonts w:hint="eastAsia" w:ascii="仿宋_GB2312" w:hAnsi="仿宋_GB2312" w:eastAsia="仿宋_GB2312" w:cs="仿宋_GB2312"/>
          <w:sz w:val="32"/>
          <w:szCs w:val="32"/>
          <w:lang w:val="en-US" w:eastAsia="zh-CN"/>
        </w:rPr>
        <w:t>293.9万元，占3.16</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2019年度一般公共预算财政拨款支出年初预算为</w:t>
      </w:r>
      <w:r>
        <w:rPr>
          <w:rFonts w:hint="eastAsia" w:ascii="仿宋_GB2312" w:hAnsi="仿宋_GB2312" w:eastAsia="仿宋_GB2312" w:cs="仿宋_GB2312"/>
          <w:sz w:val="32"/>
          <w:szCs w:val="32"/>
          <w:lang w:val="en-US" w:eastAsia="zh-CN"/>
        </w:rPr>
        <w:t>9179.5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9295.36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101.26</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一般公共服务支出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发展与改革事务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机关服务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color w:val="auto"/>
          <w:sz w:val="32"/>
          <w:szCs w:val="32"/>
          <w:highlight w:val="none"/>
          <w:lang w:val="en-US" w:eastAsia="zh-CN"/>
        </w:rPr>
        <w:t>卫生健康支出（类）卫生健康管理事务（款）行政运行（项）。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264.85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264.85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3.卫生健康支出（类）卫生健康管理事务（款）一般行政管理事务（项）。</w:t>
      </w:r>
      <w:r>
        <w:rPr>
          <w:rFonts w:hint="eastAsia" w:ascii="仿宋_GB2312" w:hAnsi="仿宋_GB2312" w:eastAsia="仿宋_GB2312" w:cs="仿宋_GB2312"/>
          <w:color w:val="auto"/>
          <w:sz w:val="32"/>
          <w:szCs w:val="32"/>
          <w:highlight w:val="none"/>
          <w:lang w:val="en-US" w:eastAsia="zh-CN"/>
        </w:rPr>
        <w:t>年初预算为44.49万元，支出决算为44.49万元，完成年初预算的100%。</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4.卫生健康支出（类）公立医院（款）综合医院（项）。</w:t>
      </w:r>
      <w:r>
        <w:rPr>
          <w:rFonts w:hint="eastAsia" w:ascii="仿宋_GB2312" w:hAnsi="仿宋_GB2312" w:eastAsia="仿宋_GB2312" w:cs="仿宋_GB2312"/>
          <w:color w:val="auto"/>
          <w:sz w:val="32"/>
          <w:szCs w:val="32"/>
          <w:highlight w:val="none"/>
          <w:lang w:val="en-US" w:eastAsia="zh-CN"/>
        </w:rPr>
        <w:t>年初预算为390.86万元，支出决算为390.86万元，完成年初预算的100%。</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5.卫生健康支出（类）公立医院（款）其他公立医院支出（项）。</w:t>
      </w:r>
      <w:r>
        <w:rPr>
          <w:rFonts w:hint="eastAsia" w:ascii="仿宋_GB2312" w:hAnsi="仿宋_GB2312" w:eastAsia="仿宋_GB2312" w:cs="仿宋_GB2312"/>
          <w:color w:val="auto"/>
          <w:sz w:val="32"/>
          <w:szCs w:val="32"/>
          <w:highlight w:val="none"/>
          <w:lang w:val="en-US" w:eastAsia="zh-CN"/>
        </w:rPr>
        <w:t>年初预算为199.45万元，支出决算为199.45万元，完成年初预算的100%。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6.卫生健康支出（类）基层医疗卫生机构（款）乡镇卫生院（项）。</w:t>
      </w:r>
      <w:r>
        <w:rPr>
          <w:rFonts w:hint="eastAsia" w:ascii="仿宋_GB2312" w:hAnsi="仿宋_GB2312" w:eastAsia="仿宋_GB2312" w:cs="仿宋_GB2312"/>
          <w:color w:val="auto"/>
          <w:sz w:val="32"/>
          <w:szCs w:val="32"/>
          <w:highlight w:val="none"/>
          <w:lang w:val="en-US" w:eastAsia="zh-CN"/>
        </w:rPr>
        <w:t>年初预算为1048.02万元，支出决算为1163.88万元，完成年初预算的111.05%。</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eastAsia="zh-CN"/>
        </w:rPr>
        <w:t>上级财政部门追加乡镇卫生院特招生、特岗生人员经费补助</w:t>
      </w:r>
      <w:r>
        <w:rPr>
          <w:rFonts w:hint="eastAsia" w:ascii="仿宋_GB2312" w:hAnsi="仿宋_GB2312" w:eastAsia="仿宋_GB2312" w:cs="仿宋_GB2312"/>
          <w:sz w:val="32"/>
          <w:szCs w:val="32"/>
          <w:lang w:val="en-US" w:eastAsia="zh-CN"/>
        </w:rPr>
        <w:t>115.86万元</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7.卫生健康支出（类）基层医疗卫生机构（款）其他基层医疗卫生机构支出（项）。</w:t>
      </w:r>
      <w:r>
        <w:rPr>
          <w:rFonts w:hint="eastAsia" w:ascii="仿宋_GB2312" w:hAnsi="仿宋_GB2312" w:eastAsia="仿宋_GB2312" w:cs="仿宋_GB2312"/>
          <w:color w:val="auto"/>
          <w:sz w:val="32"/>
          <w:szCs w:val="32"/>
          <w:highlight w:val="none"/>
          <w:lang w:val="en-US" w:eastAsia="zh-CN"/>
        </w:rPr>
        <w:t>年初预算为768.56万元，支出决算为768.56万元，完成年初预算的100%。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8.卫生健康支出（类）公共卫生（款）疾病预防控制机构（项）。</w:t>
      </w:r>
      <w:r>
        <w:rPr>
          <w:rFonts w:hint="eastAsia" w:ascii="仿宋_GB2312" w:hAnsi="仿宋_GB2312" w:eastAsia="仿宋_GB2312" w:cs="仿宋_GB2312"/>
          <w:color w:val="auto"/>
          <w:sz w:val="32"/>
          <w:szCs w:val="32"/>
          <w:highlight w:val="none"/>
          <w:lang w:val="en-US" w:eastAsia="zh-CN"/>
        </w:rPr>
        <w:t>年初预算为195.84万元，支出决算为195.84万元，完成年初预算的100%。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9.卫生健康支出（类）公共卫生（款）卫生监督机构（项）。</w:t>
      </w:r>
      <w:r>
        <w:rPr>
          <w:rFonts w:hint="eastAsia" w:ascii="仿宋_GB2312" w:hAnsi="仿宋_GB2312" w:eastAsia="仿宋_GB2312" w:cs="仿宋_GB2312"/>
          <w:color w:val="auto"/>
          <w:sz w:val="32"/>
          <w:szCs w:val="32"/>
          <w:highlight w:val="none"/>
          <w:lang w:val="en-US" w:eastAsia="zh-CN"/>
        </w:rPr>
        <w:t>年初预算为66.58万元，支出决算为66.58万元，完成年初预算的100%。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10.卫生健康支出（类）公共卫生（款）妇幼保健机构（项）。</w:t>
      </w:r>
      <w:r>
        <w:rPr>
          <w:rFonts w:hint="eastAsia" w:ascii="仿宋_GB2312" w:hAnsi="仿宋_GB2312" w:eastAsia="仿宋_GB2312" w:cs="仿宋_GB2312"/>
          <w:color w:val="auto"/>
          <w:sz w:val="32"/>
          <w:szCs w:val="32"/>
          <w:highlight w:val="none"/>
          <w:lang w:val="en-US" w:eastAsia="zh-CN"/>
        </w:rPr>
        <w:t>年初预算为45.76万元，支出决算为45.76万元，完成年初预算的100%。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11.卫生健康支出（类）公共卫生（款）基本公共卫生服务（项）。</w:t>
      </w:r>
      <w:r>
        <w:rPr>
          <w:rFonts w:hint="eastAsia" w:ascii="仿宋_GB2312" w:hAnsi="仿宋_GB2312" w:eastAsia="仿宋_GB2312" w:cs="仿宋_GB2312"/>
          <w:color w:val="auto"/>
          <w:sz w:val="32"/>
          <w:szCs w:val="32"/>
          <w:highlight w:val="none"/>
          <w:lang w:val="en-US" w:eastAsia="zh-CN"/>
        </w:rPr>
        <w:t>年初预算为2378.89万元，支出决算为2378.89万元，完成年初预算的100%。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12.卫生健康支出（类）公共卫生（款）重大公共卫生专项（项）。</w:t>
      </w:r>
      <w:r>
        <w:rPr>
          <w:rFonts w:hint="eastAsia" w:ascii="仿宋_GB2312" w:hAnsi="仿宋_GB2312" w:eastAsia="仿宋_GB2312" w:cs="仿宋_GB2312"/>
          <w:color w:val="auto"/>
          <w:sz w:val="32"/>
          <w:szCs w:val="32"/>
          <w:highlight w:val="none"/>
          <w:lang w:val="en-US" w:eastAsia="zh-CN"/>
        </w:rPr>
        <w:t>年初预算为100.36万元，支出决算为100.36万元，完成年初预算的100%。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13.卫生健康支出（类）公共卫生（款）其他公共卫生支出（项）。</w:t>
      </w:r>
      <w:r>
        <w:rPr>
          <w:rFonts w:hint="eastAsia" w:ascii="仿宋_GB2312" w:hAnsi="仿宋_GB2312" w:eastAsia="仿宋_GB2312" w:cs="仿宋_GB2312"/>
          <w:color w:val="auto"/>
          <w:sz w:val="32"/>
          <w:szCs w:val="32"/>
          <w:highlight w:val="none"/>
          <w:lang w:val="en-US" w:eastAsia="zh-CN"/>
        </w:rPr>
        <w:t>年初预算为1413.63万元，支出决算为1413.63万元，完成年初预算的100%。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14.卫生健康支出（类）中医药（款）中医</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民族医</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药专项（项）。</w:t>
      </w:r>
      <w:r>
        <w:rPr>
          <w:rFonts w:hint="eastAsia" w:ascii="仿宋_GB2312" w:hAnsi="仿宋_GB2312" w:eastAsia="仿宋_GB2312" w:cs="仿宋_GB2312"/>
          <w:color w:val="auto"/>
          <w:sz w:val="32"/>
          <w:szCs w:val="32"/>
          <w:highlight w:val="none"/>
          <w:lang w:val="en-US" w:eastAsia="zh-CN"/>
        </w:rPr>
        <w:t>年初预算为210万元，支出决算为210万元，完成年初预算的100%。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15.卫生健康支出（类）计划生育事务（款）计划生育服务（项）。</w:t>
      </w:r>
      <w:r>
        <w:rPr>
          <w:rFonts w:hint="eastAsia" w:ascii="仿宋_GB2312" w:hAnsi="仿宋_GB2312" w:eastAsia="仿宋_GB2312" w:cs="仿宋_GB2312"/>
          <w:color w:val="auto"/>
          <w:sz w:val="32"/>
          <w:szCs w:val="32"/>
          <w:highlight w:val="none"/>
          <w:lang w:val="en-US" w:eastAsia="zh-CN"/>
        </w:rPr>
        <w:t>年初预算为1669.01万元，支出决算为1669.01万元，完成年初预算的100%。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16.卫生健康支出（类）计划生育事务（款）其他计划生育事务支出（项）。</w:t>
      </w:r>
      <w:r>
        <w:rPr>
          <w:rFonts w:hint="eastAsia" w:ascii="仿宋_GB2312" w:hAnsi="仿宋_GB2312" w:eastAsia="仿宋_GB2312" w:cs="仿宋_GB2312"/>
          <w:color w:val="auto"/>
          <w:sz w:val="32"/>
          <w:szCs w:val="32"/>
          <w:highlight w:val="none"/>
          <w:lang w:val="en-US" w:eastAsia="zh-CN"/>
        </w:rPr>
        <w:t>年初预算为11万元，支出决算为11万元，完成年初预算的100%。</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17.卫生健康支出（类）其他卫生健康支出（款）其他卫生健康支出（项）。</w:t>
      </w:r>
      <w:r>
        <w:rPr>
          <w:rFonts w:hint="eastAsia" w:ascii="仿宋_GB2312" w:hAnsi="仿宋_GB2312" w:eastAsia="仿宋_GB2312" w:cs="仿宋_GB2312"/>
          <w:color w:val="auto"/>
          <w:sz w:val="32"/>
          <w:szCs w:val="32"/>
          <w:highlight w:val="none"/>
          <w:lang w:val="en-US" w:eastAsia="zh-CN"/>
        </w:rPr>
        <w:t>年初预算为78.19万元，支出决算为78.19万元，完成年初预算的100%。</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18.农林水支出（类）农业（款）其他农业支出（项）。</w:t>
      </w:r>
      <w:r>
        <w:rPr>
          <w:rFonts w:hint="eastAsia" w:ascii="仿宋_GB2312" w:hAnsi="仿宋_GB2312" w:eastAsia="仿宋_GB2312" w:cs="仿宋_GB2312"/>
          <w:color w:val="auto"/>
          <w:sz w:val="32"/>
          <w:szCs w:val="32"/>
          <w:highlight w:val="none"/>
          <w:lang w:val="en-US" w:eastAsia="zh-CN"/>
        </w:rPr>
        <w:t>年初预算为180万元，支出决算为180万元，完成年初预算的100%。</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19.农林水支出（类）扶贫（款）社会发展（项）。</w:t>
      </w:r>
      <w:r>
        <w:rPr>
          <w:rFonts w:hint="eastAsia" w:ascii="仿宋_GB2312" w:hAnsi="仿宋_GB2312" w:eastAsia="仿宋_GB2312" w:cs="仿宋_GB2312"/>
          <w:color w:val="auto"/>
          <w:sz w:val="32"/>
          <w:szCs w:val="32"/>
          <w:highlight w:val="none"/>
          <w:lang w:val="en-US" w:eastAsia="zh-CN"/>
        </w:rPr>
        <w:t>年初预算为113.9万元，支出决算为113.9万元，完成年初预算的100%。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2019年度一般公共预算财政拨款基本支出</w:t>
      </w:r>
      <w:r>
        <w:rPr>
          <w:rFonts w:hint="eastAsia" w:ascii="仿宋_GB2312" w:hAnsi="仿宋_GB2312" w:eastAsia="仿宋_GB2312" w:cs="仿宋_GB2312"/>
          <w:sz w:val="32"/>
          <w:szCs w:val="32"/>
          <w:lang w:val="en-US" w:eastAsia="zh-CN"/>
        </w:rPr>
        <w:t>5469.93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与上年度相比，增加</w:t>
      </w:r>
      <w:r>
        <w:rPr>
          <w:rFonts w:hint="eastAsia" w:ascii="仿宋_GB2312" w:hAnsi="仿宋_GB2312" w:eastAsia="仿宋_GB2312" w:cs="仿宋_GB2312"/>
          <w:sz w:val="32"/>
          <w:szCs w:val="32"/>
          <w:highlight w:val="none"/>
          <w:lang w:val="en-US" w:eastAsia="zh-CN"/>
        </w:rPr>
        <w:t>419.79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8.3</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对村级卫生室经费补助增加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3361.6</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职工基本医疗保险缴费、其他社会保障缴费、住房公积金、其他工资福利支出、退休费、生活补助、其他对个人和家庭的补助支出；公用经费</w:t>
      </w:r>
      <w:r>
        <w:rPr>
          <w:rFonts w:hint="eastAsia" w:ascii="仿宋_GB2312" w:hAnsi="仿宋_GB2312" w:eastAsia="仿宋_GB2312" w:cs="仿宋_GB2312"/>
          <w:sz w:val="32"/>
          <w:szCs w:val="32"/>
          <w:lang w:val="en-US" w:eastAsia="zh-CN"/>
        </w:rPr>
        <w:t>2108.34</w:t>
      </w:r>
      <w:r>
        <w:rPr>
          <w:rFonts w:hint="eastAsia" w:ascii="仿宋_GB2312" w:hAnsi="仿宋_GB2312" w:eastAsia="仿宋_GB2312" w:cs="仿宋_GB2312"/>
          <w:sz w:val="32"/>
          <w:szCs w:val="32"/>
        </w:rPr>
        <w:t>万元，主要包括：办公费、印刷费、咨询费、手续费、水费、电费、邮电费、取暖费、物业管理费、差旅费、维修（护）费、租赁费、会议费、培训费、公务接待费、专用材料费、劳务费、委托业务费、工会经费、福利费、公务用车运行维护费、其他商品和服务支出、其他交通工具购置。</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2019年度“三公”经费财政拨款支出预算为</w:t>
      </w:r>
      <w:r>
        <w:rPr>
          <w:rFonts w:hint="eastAsia" w:ascii="仿宋_GB2312" w:hAnsi="仿宋_GB2312" w:eastAsia="仿宋_GB2312" w:cs="仿宋_GB2312"/>
          <w:sz w:val="32"/>
          <w:szCs w:val="32"/>
          <w:lang w:val="en-US" w:eastAsia="zh-CN"/>
        </w:rPr>
        <w:t>85.42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64.1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75.04</w:t>
      </w:r>
      <w:r>
        <w:rPr>
          <w:rFonts w:hint="eastAsia" w:ascii="仿宋_GB2312" w:hAnsi="仿宋_GB2312" w:eastAsia="仿宋_GB2312" w:cs="仿宋_GB2312"/>
          <w:sz w:val="32"/>
          <w:szCs w:val="32"/>
        </w:rPr>
        <w:t>%。2019年度“三公”经费支出决算数与预算数存在差异的主要原因是</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color w:val="auto"/>
          <w:sz w:val="32"/>
          <w:szCs w:val="32"/>
          <w:highlight w:val="none"/>
          <w:lang w:val="en-US" w:eastAsia="zh-CN"/>
        </w:rPr>
        <w:t>加强公务用车管理，严格用车审批登记制度，节约公务出行成本；二是压缩公务接待费用支出。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57.78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74.5</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90.14</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6.32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78.41</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9.86</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77.35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57.78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74.7</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color w:val="auto"/>
          <w:sz w:val="32"/>
          <w:szCs w:val="32"/>
          <w:highlight w:val="none"/>
          <w:lang w:val="en-US" w:eastAsia="zh-CN"/>
        </w:rPr>
        <w:t>加强公务用车管理，严格用车审批登记制度，节约公务出行成本。</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为特种</w:t>
      </w:r>
      <w:r>
        <w:rPr>
          <w:rFonts w:hint="eastAsia" w:ascii="仿宋_GB2312" w:hAnsi="仿宋_GB2312" w:eastAsia="仿宋_GB2312" w:cs="仿宋_GB2312"/>
          <w:sz w:val="32"/>
          <w:szCs w:val="32"/>
        </w:rPr>
        <w:t>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b/>
          <w:bCs/>
          <w:sz w:val="32"/>
          <w:szCs w:val="32"/>
          <w:lang w:val="en-US" w:eastAsia="zh-CN"/>
        </w:rPr>
        <w:t>42.78</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color w:val="auto"/>
          <w:sz w:val="32"/>
          <w:szCs w:val="32"/>
          <w:highlight w:val="none"/>
          <w:lang w:val="en-US" w:eastAsia="zh-CN"/>
        </w:rPr>
        <w:t>维修保养、燃油及车辆保险</w:t>
      </w:r>
      <w:r>
        <w:rPr>
          <w:rFonts w:hint="eastAsia" w:ascii="仿宋_GB2312" w:hAnsi="仿宋_GB2312" w:eastAsia="仿宋_GB2312" w:cs="仿宋_GB2312"/>
          <w:sz w:val="32"/>
          <w:szCs w:val="32"/>
        </w:rPr>
        <w:t>。2019年期末，部门开支财政拨款的公务用车保有量为</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辆。</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公务用车购置及运行费支出决算比上年度增加</w:t>
      </w:r>
      <w:r>
        <w:rPr>
          <w:rFonts w:hint="eastAsia" w:ascii="仿宋_GB2312" w:hAnsi="仿宋_GB2312" w:eastAsia="仿宋_GB2312" w:cs="仿宋_GB2312"/>
          <w:sz w:val="32"/>
          <w:szCs w:val="32"/>
          <w:lang w:val="en-US" w:eastAsia="zh-CN"/>
        </w:rPr>
        <w:t>15.89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37.93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新购置一辆公务用车</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8.06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6.32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78.41</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color w:val="auto"/>
          <w:sz w:val="32"/>
          <w:szCs w:val="32"/>
          <w:highlight w:val="none"/>
          <w:lang w:val="en-US" w:eastAsia="zh-CN"/>
        </w:rPr>
        <w:t>严格执行公务接待制度，</w:t>
      </w:r>
      <w:r>
        <w:rPr>
          <w:rFonts w:hint="eastAsia" w:ascii="仿宋" w:hAnsi="仿宋" w:eastAsia="仿宋" w:cs="仿宋"/>
          <w:sz w:val="32"/>
          <w:szCs w:val="32"/>
          <w:lang w:val="zh-CN"/>
        </w:rPr>
        <w:t>一般单位来人接待都在单位吃公务餐以</w:t>
      </w:r>
      <w:r>
        <w:rPr>
          <w:rFonts w:hint="eastAsia" w:ascii="仿宋_GB2312" w:hAnsi="仿宋_GB2312" w:eastAsia="仿宋_GB2312" w:cs="仿宋_GB2312"/>
          <w:color w:val="auto"/>
          <w:sz w:val="32"/>
          <w:szCs w:val="32"/>
          <w:highlight w:val="none"/>
          <w:lang w:val="en-US" w:eastAsia="zh-CN"/>
        </w:rPr>
        <w:t>压缩公务接待费用支出</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万元。2019年共接待国（境）外来访团组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6.32</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color w:val="auto"/>
          <w:sz w:val="32"/>
          <w:szCs w:val="32"/>
          <w:highlight w:val="none"/>
          <w:lang w:val="en-US" w:eastAsia="zh-CN"/>
        </w:rPr>
        <w:t>上级及同级部门对卫生健康系统进行公务活动时必要的接待费用</w:t>
      </w:r>
      <w:r>
        <w:rPr>
          <w:rFonts w:hint="eastAsia" w:ascii="仿宋_GB2312" w:hAnsi="仿宋_GB2312" w:eastAsia="仿宋_GB2312" w:cs="仿宋_GB2312"/>
          <w:sz w:val="32"/>
          <w:szCs w:val="32"/>
        </w:rPr>
        <w:t>。2019年共接待国内来访团组</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890</w:t>
      </w:r>
      <w:r>
        <w:rPr>
          <w:rFonts w:hint="eastAsia" w:ascii="仿宋_GB2312" w:hAnsi="仿宋_GB2312" w:eastAsia="仿宋_GB2312" w:cs="仿宋_GB2312"/>
          <w:sz w:val="32"/>
          <w:szCs w:val="32"/>
        </w:rPr>
        <w:t>人次（不包括陪同人员）。</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公务接待费支出决算比上年度减少</w:t>
      </w:r>
      <w:r>
        <w:rPr>
          <w:rFonts w:hint="eastAsia" w:ascii="仿宋_GB2312" w:hAnsi="仿宋_GB2312" w:eastAsia="仿宋_GB2312" w:cs="仿宋_GB2312"/>
          <w:sz w:val="32"/>
          <w:szCs w:val="32"/>
          <w:lang w:val="en-US" w:eastAsia="zh-CN"/>
        </w:rPr>
        <w:t>2.18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25.65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auto"/>
          <w:sz w:val="32"/>
          <w:szCs w:val="32"/>
          <w:highlight w:val="none"/>
          <w:lang w:val="en-US" w:eastAsia="zh-CN"/>
        </w:rPr>
        <w:t>严格执行公务接待制度，压缩公务接待费用支出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val="0"/>
          <w:i w:val="0"/>
          <w:caps w:val="0"/>
          <w:color w:val="000000"/>
          <w:spacing w:val="0"/>
          <w:sz w:val="32"/>
          <w:szCs w:val="32"/>
          <w:shd w:val="clear" w:color="auto" w:fill="FFFFFF"/>
        </w:rPr>
        <w:t>我</w:t>
      </w:r>
      <w:r>
        <w:rPr>
          <w:rFonts w:hint="eastAsia" w:ascii="仿宋_GB2312" w:hAnsi="仿宋_GB2312" w:eastAsia="仿宋_GB2312" w:cs="仿宋_GB2312"/>
          <w:b w:val="0"/>
          <w:i w:val="0"/>
          <w:caps w:val="0"/>
          <w:color w:val="000000"/>
          <w:spacing w:val="0"/>
          <w:sz w:val="32"/>
          <w:szCs w:val="32"/>
          <w:shd w:val="clear" w:color="auto" w:fill="FFFFFF"/>
          <w:lang w:eastAsia="zh-CN"/>
        </w:rPr>
        <w:t>部门</w:t>
      </w:r>
      <w:r>
        <w:rPr>
          <w:rFonts w:hint="eastAsia" w:ascii="仿宋_GB2312" w:hAnsi="仿宋_GB2312" w:eastAsia="仿宋_GB2312" w:cs="仿宋_GB2312"/>
          <w:b w:val="0"/>
          <w:i w:val="0"/>
          <w:caps w:val="0"/>
          <w:color w:val="000000"/>
          <w:spacing w:val="0"/>
          <w:sz w:val="32"/>
          <w:szCs w:val="32"/>
          <w:shd w:val="clear" w:color="auto" w:fill="FFFFFF"/>
        </w:rPr>
        <w:t>定期对项目实施情况和</w:t>
      </w:r>
      <w:r>
        <w:rPr>
          <w:rFonts w:hint="eastAsia" w:ascii="仿宋_GB2312" w:hAnsi="仿宋_GB2312" w:eastAsia="仿宋_GB2312" w:cs="仿宋_GB2312"/>
          <w:b w:val="0"/>
          <w:i w:val="0"/>
          <w:caps w:val="0"/>
          <w:color w:val="000000"/>
          <w:spacing w:val="0"/>
          <w:sz w:val="32"/>
          <w:szCs w:val="32"/>
          <w:shd w:val="clear" w:color="auto" w:fill="FFFFFF"/>
          <w:lang w:eastAsia="zh-CN"/>
        </w:rPr>
        <w:t>经</w:t>
      </w:r>
      <w:r>
        <w:rPr>
          <w:rFonts w:hint="eastAsia" w:ascii="仿宋_GB2312" w:hAnsi="仿宋_GB2312" w:eastAsia="仿宋_GB2312" w:cs="仿宋_GB2312"/>
          <w:b w:val="0"/>
          <w:i w:val="0"/>
          <w:caps w:val="0"/>
          <w:color w:val="000000"/>
          <w:spacing w:val="0"/>
          <w:sz w:val="32"/>
          <w:szCs w:val="32"/>
          <w:shd w:val="clear" w:color="auto" w:fill="FFFFFF"/>
        </w:rPr>
        <w:t>费使用情况进行跟踪检查，对能实现预期绩效目标的项目予以充分肯定，对进展缓慢，预期绩效目标较差的项目，及时进行协调和提出整改措施，确保项目实施工作正常运行，达到预期绩效目标。</w:t>
      </w:r>
      <w:r>
        <w:rPr>
          <w:rFonts w:hint="eastAsia" w:ascii="仿宋_GB2312" w:hAnsi="仿宋_GB2312" w:eastAsia="仿宋_GB2312" w:cs="仿宋_GB2312"/>
          <w:b w:val="0"/>
          <w:i w:val="0"/>
          <w:caps w:val="0"/>
          <w:color w:val="000000"/>
          <w:spacing w:val="0"/>
          <w:sz w:val="32"/>
          <w:szCs w:val="32"/>
          <w:shd w:val="clear" w:color="auto" w:fill="FFFFFF"/>
          <w:lang w:eastAsia="zh-CN"/>
        </w:rPr>
        <w:t>全部</w:t>
      </w:r>
      <w:r>
        <w:rPr>
          <w:rFonts w:hint="eastAsia" w:ascii="仿宋_GB2312" w:hAnsi="仿宋_GB2312" w:eastAsia="仿宋_GB2312" w:cs="仿宋_GB2312"/>
          <w:b w:val="0"/>
          <w:i w:val="0"/>
          <w:caps w:val="0"/>
          <w:color w:val="000000"/>
          <w:spacing w:val="0"/>
          <w:sz w:val="32"/>
          <w:szCs w:val="32"/>
          <w:shd w:val="clear" w:color="auto" w:fill="FFFFFF"/>
        </w:rPr>
        <w:t>项目的运行完全按照我单位内部管理制度、县委县政府及财政的有关规定执行。单位内部不定期进行抽查，严格人员作风，不存在违规违法的问题。各个项目资金使用与具体项目实施内容相符，绩效总目标和阶段性目标都已按照计划完成。</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2019年，我部门纳入预算绩效管理的支出总额为6304.88万元，其中人员经费支出0万元，公用经费支出0万元；支出项目共17个，支出金额6304.88万元。其中，进行项目绩效自评10个，自评金额5672.85万元；纳入重点绩效评价（部门评价或财政评价）0个，评价金额0万元。</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i w:val="0"/>
          <w:caps w:val="0"/>
          <w:color w:val="000000"/>
          <w:spacing w:val="0"/>
          <w:sz w:val="32"/>
          <w:szCs w:val="32"/>
          <w:shd w:val="clear" w:color="auto" w:fill="FFFFFF"/>
        </w:rPr>
        <w:t>我</w:t>
      </w:r>
      <w:r>
        <w:rPr>
          <w:rFonts w:hint="eastAsia" w:ascii="仿宋_GB2312" w:hAnsi="仿宋_GB2312" w:eastAsia="仿宋_GB2312" w:cs="仿宋_GB2312"/>
          <w:b w:val="0"/>
          <w:i w:val="0"/>
          <w:caps w:val="0"/>
          <w:color w:val="000000"/>
          <w:spacing w:val="0"/>
          <w:sz w:val="32"/>
          <w:szCs w:val="32"/>
          <w:shd w:val="clear" w:color="auto" w:fill="FFFFFF"/>
          <w:lang w:eastAsia="zh-CN"/>
        </w:rPr>
        <w:t>部门</w:t>
      </w:r>
      <w:r>
        <w:rPr>
          <w:rFonts w:hint="eastAsia" w:ascii="仿宋_GB2312" w:hAnsi="仿宋_GB2312" w:eastAsia="仿宋_GB2312" w:cs="仿宋_GB2312"/>
          <w:b w:val="0"/>
          <w:i w:val="0"/>
          <w:caps w:val="0"/>
          <w:color w:val="000000"/>
          <w:spacing w:val="0"/>
          <w:sz w:val="32"/>
          <w:szCs w:val="32"/>
          <w:shd w:val="clear" w:color="auto" w:fill="FFFFFF"/>
        </w:rPr>
        <w:t>定期对项目实施情况和</w:t>
      </w:r>
      <w:r>
        <w:rPr>
          <w:rFonts w:hint="eastAsia" w:ascii="仿宋_GB2312" w:hAnsi="仿宋_GB2312" w:eastAsia="仿宋_GB2312" w:cs="仿宋_GB2312"/>
          <w:b w:val="0"/>
          <w:i w:val="0"/>
          <w:caps w:val="0"/>
          <w:color w:val="000000"/>
          <w:spacing w:val="0"/>
          <w:sz w:val="32"/>
          <w:szCs w:val="32"/>
          <w:shd w:val="clear" w:color="auto" w:fill="FFFFFF"/>
          <w:lang w:eastAsia="zh-CN"/>
        </w:rPr>
        <w:t>经</w:t>
      </w:r>
      <w:r>
        <w:rPr>
          <w:rFonts w:hint="eastAsia" w:ascii="仿宋_GB2312" w:hAnsi="仿宋_GB2312" w:eastAsia="仿宋_GB2312" w:cs="仿宋_GB2312"/>
          <w:b w:val="0"/>
          <w:i w:val="0"/>
          <w:caps w:val="0"/>
          <w:color w:val="000000"/>
          <w:spacing w:val="0"/>
          <w:sz w:val="32"/>
          <w:szCs w:val="32"/>
          <w:shd w:val="clear" w:color="auto" w:fill="FFFFFF"/>
        </w:rPr>
        <w:t>费使用情况进行跟踪检查，对能实现预期绩效目标的项目予以充分肯定，对进展缓慢，预期绩效目标较差的项目，及时进行协调和提出整改措施，确保项目实施工作正常运行，达到预期绩效目标。</w:t>
      </w:r>
      <w:r>
        <w:rPr>
          <w:rFonts w:hint="eastAsia" w:ascii="仿宋_GB2312" w:hAnsi="仿宋_GB2312" w:eastAsia="仿宋_GB2312" w:cs="仿宋_GB2312"/>
          <w:b w:val="0"/>
          <w:i w:val="0"/>
          <w:caps w:val="0"/>
          <w:color w:val="000000"/>
          <w:spacing w:val="0"/>
          <w:sz w:val="32"/>
          <w:szCs w:val="32"/>
          <w:shd w:val="clear" w:color="auto" w:fill="FFFFFF"/>
          <w:lang w:eastAsia="zh-CN"/>
        </w:rPr>
        <w:t>全部</w:t>
      </w:r>
      <w:r>
        <w:rPr>
          <w:rFonts w:hint="eastAsia" w:ascii="仿宋_GB2312" w:hAnsi="仿宋_GB2312" w:eastAsia="仿宋_GB2312" w:cs="仿宋_GB2312"/>
          <w:b w:val="0"/>
          <w:i w:val="0"/>
          <w:caps w:val="0"/>
          <w:color w:val="000000"/>
          <w:spacing w:val="0"/>
          <w:sz w:val="32"/>
          <w:szCs w:val="32"/>
          <w:shd w:val="clear" w:color="auto" w:fill="FFFFFF"/>
        </w:rPr>
        <w:t>项目的运行完全按照我单位内部管理制度、县委县政府及财政的有关规定执行。单位内部不定期进行抽查，严格人员作风，不存在违规违法的问题。各个项目资金使用与具体项目实施内容相符，绩效总目标和阶段性目标都已按照计划完成。</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我部门重点绩效项目严格按照资金管理要求，按照要求</w:t>
      </w:r>
      <w:r>
        <w:rPr>
          <w:rFonts w:hint="eastAsia" w:ascii="仿宋_GB2312" w:eastAsia="仿宋_GB2312"/>
          <w:color w:val="auto"/>
          <w:sz w:val="32"/>
          <w:szCs w:val="32"/>
          <w:lang w:val="en-US" w:eastAsia="zh-CN"/>
        </w:rPr>
        <w:t>开展日常监督检查管理，及时根据项目进展情况和财政国库支付中心沟通，及时申请和拨付资金，解决各种问题，确保资金使用得当和效益最大化，保证做到项目资金无挪用、无截留，有效保障项目顺利完成。</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2019年度政府性基金预算财政拨款支出年初预算为</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%。主要用于新生儿筛查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适龄妇女</w:t>
      </w:r>
      <w:r>
        <w:rPr>
          <w:rFonts w:hint="eastAsia" w:ascii="仿宋_GB2312" w:hAnsi="仿宋_GB2312" w:eastAsia="仿宋_GB2312" w:cs="仿宋_GB2312"/>
          <w:sz w:val="32"/>
          <w:szCs w:val="32"/>
          <w:lang w:eastAsia="zh-CN"/>
        </w:rPr>
        <w:t>宫颈癌乳腺癌</w:t>
      </w:r>
      <w:r>
        <w:rPr>
          <w:rFonts w:hint="eastAsia" w:ascii="仿宋_GB2312" w:hAnsi="仿宋_GB2312" w:eastAsia="仿宋_GB2312" w:cs="仿宋_GB2312"/>
          <w:sz w:val="32"/>
          <w:szCs w:val="32"/>
        </w:rPr>
        <w:t>筛查和产前筛查</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2019年度机关运行经费</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Start w:id="0" w:name="_GoBack"/>
      <w:bookmarkEnd w:id="0"/>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2019年度政府采购支出总额</w:t>
      </w:r>
      <w:r>
        <w:rPr>
          <w:rFonts w:hint="eastAsia" w:ascii="仿宋_GB2312" w:hAnsi="仿宋_GB2312" w:eastAsia="仿宋_GB2312" w:cs="仿宋_GB2312"/>
          <w:sz w:val="32"/>
          <w:szCs w:val="32"/>
          <w:lang w:val="en-US" w:eastAsia="zh-CN"/>
        </w:rPr>
        <w:t>1078.06</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1059.46</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18.6</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1078.06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825.06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76.53</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2019年期末，我部门共有车辆</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辆，其中：省级领导干部用车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台（套）。</w:t>
      </w:r>
    </w:p>
    <w:p>
      <w:pPr>
        <w:widowControl/>
        <w:jc w:val="left"/>
        <w:rPr>
          <w:rFonts w:hint="eastAsia"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wF90idMBAAClAwAADgAAAAAAAAABACAAAAAe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PeVx/UAQAApQMAAA4AAAAAAAAAAQAgAAAAHgEA&#10;AGRycy9lMm9Eb2MueG1sUEsFBgAAAAAGAAYAWQEAAGQ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BuuGmrUAQAApQMAAA4AAAAAAAAAAQAgAAAAHg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9F20D"/>
    <w:multiLevelType w:val="multilevel"/>
    <w:tmpl w:val="B149F20D"/>
    <w:lvl w:ilvl="0" w:tentative="0">
      <w:start w:val="5"/>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360E6"/>
    <w:rsid w:val="03A72EEF"/>
    <w:rsid w:val="0415601B"/>
    <w:rsid w:val="04B84F54"/>
    <w:rsid w:val="06796A8E"/>
    <w:rsid w:val="079B1C26"/>
    <w:rsid w:val="093B5C01"/>
    <w:rsid w:val="0A1D4093"/>
    <w:rsid w:val="0C73582E"/>
    <w:rsid w:val="0CBB3619"/>
    <w:rsid w:val="0D8C3337"/>
    <w:rsid w:val="0FB85158"/>
    <w:rsid w:val="10E83300"/>
    <w:rsid w:val="10F4673D"/>
    <w:rsid w:val="128E7FD0"/>
    <w:rsid w:val="142143EA"/>
    <w:rsid w:val="177404BA"/>
    <w:rsid w:val="17B03755"/>
    <w:rsid w:val="17CB33C1"/>
    <w:rsid w:val="1837227E"/>
    <w:rsid w:val="18527D71"/>
    <w:rsid w:val="19AD2D77"/>
    <w:rsid w:val="1ACF6015"/>
    <w:rsid w:val="1BDC472F"/>
    <w:rsid w:val="1C2B2F71"/>
    <w:rsid w:val="1D22337F"/>
    <w:rsid w:val="216D7F4B"/>
    <w:rsid w:val="21DC286A"/>
    <w:rsid w:val="22AF22ED"/>
    <w:rsid w:val="240E06F2"/>
    <w:rsid w:val="2477004B"/>
    <w:rsid w:val="269779DD"/>
    <w:rsid w:val="27282050"/>
    <w:rsid w:val="27DB7F3F"/>
    <w:rsid w:val="27FE7050"/>
    <w:rsid w:val="284C0A38"/>
    <w:rsid w:val="29227925"/>
    <w:rsid w:val="29ED0BD9"/>
    <w:rsid w:val="2D5347F6"/>
    <w:rsid w:val="2D571402"/>
    <w:rsid w:val="2E2524DA"/>
    <w:rsid w:val="2E4D7362"/>
    <w:rsid w:val="2EE9689B"/>
    <w:rsid w:val="2FAC0D50"/>
    <w:rsid w:val="3228775A"/>
    <w:rsid w:val="33237974"/>
    <w:rsid w:val="33FF6E86"/>
    <w:rsid w:val="34292B57"/>
    <w:rsid w:val="35036354"/>
    <w:rsid w:val="35E96048"/>
    <w:rsid w:val="37C52FA7"/>
    <w:rsid w:val="3860053D"/>
    <w:rsid w:val="39D528E5"/>
    <w:rsid w:val="3C036E3A"/>
    <w:rsid w:val="3CC12F01"/>
    <w:rsid w:val="3DB56CC7"/>
    <w:rsid w:val="3E4C25CA"/>
    <w:rsid w:val="3E5414F6"/>
    <w:rsid w:val="3F6942FE"/>
    <w:rsid w:val="41DE6DE3"/>
    <w:rsid w:val="420846F7"/>
    <w:rsid w:val="42B24C0F"/>
    <w:rsid w:val="44CD346E"/>
    <w:rsid w:val="450331AE"/>
    <w:rsid w:val="46A4162B"/>
    <w:rsid w:val="4701142B"/>
    <w:rsid w:val="497A2108"/>
    <w:rsid w:val="4AC86A39"/>
    <w:rsid w:val="4CA90A49"/>
    <w:rsid w:val="4D465C1D"/>
    <w:rsid w:val="4DE949AA"/>
    <w:rsid w:val="4EFC09E4"/>
    <w:rsid w:val="4F535E95"/>
    <w:rsid w:val="50D360FF"/>
    <w:rsid w:val="50FD39AC"/>
    <w:rsid w:val="537C7248"/>
    <w:rsid w:val="549E3243"/>
    <w:rsid w:val="554E1B44"/>
    <w:rsid w:val="576909CF"/>
    <w:rsid w:val="587F2E51"/>
    <w:rsid w:val="588D1543"/>
    <w:rsid w:val="590D5037"/>
    <w:rsid w:val="599D016E"/>
    <w:rsid w:val="5A3057D2"/>
    <w:rsid w:val="5B0C0E0E"/>
    <w:rsid w:val="5B3F05BD"/>
    <w:rsid w:val="5D2416AA"/>
    <w:rsid w:val="5DB75F21"/>
    <w:rsid w:val="5DDE4F4E"/>
    <w:rsid w:val="5F6A795D"/>
    <w:rsid w:val="616B74C1"/>
    <w:rsid w:val="617A32D5"/>
    <w:rsid w:val="62510D0F"/>
    <w:rsid w:val="62574A05"/>
    <w:rsid w:val="62E3701E"/>
    <w:rsid w:val="64182367"/>
    <w:rsid w:val="69084C0E"/>
    <w:rsid w:val="69F04D82"/>
    <w:rsid w:val="6C683215"/>
    <w:rsid w:val="6EBF749D"/>
    <w:rsid w:val="6F4B4104"/>
    <w:rsid w:val="71F84C30"/>
    <w:rsid w:val="757A6019"/>
    <w:rsid w:val="76637E4F"/>
    <w:rsid w:val="76FE15C1"/>
    <w:rsid w:val="77C81018"/>
    <w:rsid w:val="78CA6F82"/>
    <w:rsid w:val="79BF6C5D"/>
    <w:rsid w:val="7C6E20B3"/>
    <w:rsid w:val="7CD246ED"/>
    <w:rsid w:val="7CE774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annotation reference"/>
    <w:basedOn w:val="5"/>
    <w:qFormat/>
    <w:uiPriority w:val="0"/>
    <w:rPr>
      <w:sz w:val="21"/>
      <w:szCs w:val="21"/>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5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三月风</cp:lastModifiedBy>
  <dcterms:modified xsi:type="dcterms:W3CDTF">2020-11-13T04:37:14Z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