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2019年度</w:t>
      </w:r>
    </w:p>
    <w:p>
      <w:pPr>
        <w:jc w:val="center"/>
        <w:rPr>
          <w:rFonts w:hint="eastAsia" w:ascii="黑体" w:hAnsi="黑体" w:eastAsia="黑体" w:cs="黑体"/>
          <w:sz w:val="52"/>
          <w:szCs w:val="52"/>
        </w:rPr>
      </w:pPr>
      <w:r>
        <w:rPr>
          <w:rFonts w:hint="eastAsia" w:ascii="黑体" w:hAnsi="黑体" w:eastAsia="黑体" w:cs="黑体"/>
          <w:sz w:val="52"/>
          <w:szCs w:val="52"/>
          <w:lang w:eastAsia="zh-CN"/>
        </w:rPr>
        <w:t>人力资源和社会保障局</w:t>
      </w:r>
      <w:r>
        <w:rPr>
          <w:rFonts w:hint="eastAsia" w:ascii="黑体" w:hAnsi="黑体" w:eastAsia="黑体" w:cs="黑体"/>
          <w:sz w:val="52"/>
          <w:szCs w:val="52"/>
        </w:rPr>
        <w:t>决算</w:t>
      </w: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二〇二〇年</w:t>
      </w: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人社局</w:t>
      </w:r>
      <w:r>
        <w:rPr>
          <w:rFonts w:hint="eastAsia" w:ascii="黑体" w:hAnsi="黑体" w:eastAsia="黑体" w:cs="黑体"/>
          <w:sz w:val="32"/>
          <w:szCs w:val="32"/>
          <w:highlight w:val="none"/>
        </w:rPr>
        <w:t>（局）概况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2019年度部门决算表</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一、收入支出决算总表</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二、收入决算表</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三、支出决算表</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四、财政拨款收入支出决算总表</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五、一般公共预算财政拨款支出决算表</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六、一般公共预算财政拨款基本支出决算表</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七、一般公共预算财政拨款“三公”经费支出决算表</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2019年度部门决算情况说明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八、预算绩效情况说明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十一、政府采购支出情况说明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十二、国有资产占用情况说明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宋体" w:hAnsi="宋体" w:cs="宋体"/>
          <w:sz w:val="32"/>
          <w:szCs w:val="32"/>
          <w:highlight w:val="none"/>
        </w:rPr>
      </w:pPr>
    </w:p>
    <w:p>
      <w:pPr>
        <w:jc w:val="left"/>
        <w:rPr>
          <w:rFonts w:hint="eastAsia" w:ascii="黑体" w:hAnsi="黑体" w:eastAsia="黑体" w:cs="黑体"/>
          <w:sz w:val="32"/>
          <w:szCs w:val="32"/>
          <w:highlight w:val="none"/>
        </w:rPr>
        <w:sectPr>
          <w:footerReference r:id="rId3" w:type="default"/>
          <w:footerReference r:id="rId4" w:type="even"/>
          <w:pgSz w:w="11906" w:h="16838"/>
          <w:pgMar w:top="1440" w:right="1531" w:bottom="1440" w:left="1587" w:header="850" w:footer="992" w:gutter="0"/>
          <w:pgNumType w:fmt="numberInDash" w:start="1"/>
          <w:cols w:space="720" w:num="1"/>
          <w:docGrid w:type="lines" w:linePitch="317"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人力资源和社会保障局</w:t>
      </w:r>
      <w:r>
        <w:rPr>
          <w:rFonts w:hint="eastAsia" w:ascii="黑体" w:hAnsi="黑体" w:eastAsia="黑体" w:cs="黑体"/>
          <w:sz w:val="48"/>
          <w:szCs w:val="48"/>
          <w:highlight w:val="none"/>
        </w:rPr>
        <w:t>概况</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autoSpaceDE w:val="0"/>
        <w:spacing w:line="60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（一）贯彻执行人力资源和社会保障法律法规，拟订人力资源和社会保障事业发展地方性政策、规划并组织实施。</w:t>
      </w:r>
    </w:p>
    <w:p>
      <w:pPr>
        <w:autoSpaceDE w:val="0"/>
        <w:spacing w:line="60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（二）拟订人力资源市场发展规划和人力资源服务业发展、人力资源流动政策，促进人力资源合理流动、有效配置。</w:t>
      </w:r>
    </w:p>
    <w:p>
      <w:pPr>
        <w:autoSpaceDE w:val="0"/>
        <w:spacing w:line="60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（三）负责促进就业工作，拟订统筹城乡的就业发展规划和政策，完善公共就业创业服务体系，统筹建立面向城乡劳动者的职业技能培训制度，拟订就业援助制度，牵头拟订高校毕业生就业政策。</w:t>
      </w:r>
    </w:p>
    <w:p>
      <w:pPr>
        <w:autoSpaceDE w:val="0"/>
        <w:spacing w:line="60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（四）统筹推进建立覆盖城乡的多层次社会保障体系。组织拟订养老、失业、工伤等社会保险及其补充保险基金管理和监督制度，编制相关社会保险基金预决算草案，会同有关部门实施全民参保计划。</w:t>
      </w:r>
    </w:p>
    <w:p>
      <w:pPr>
        <w:autoSpaceDE w:val="0"/>
        <w:spacing w:line="60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（五）负责就业、失业和相关社会保险基金预测预警和信息引导，拟订应对预案，实施预防、调节和控制，保持就业形势稳定和相关社会保险基金总体收支平衡。</w:t>
      </w:r>
    </w:p>
    <w:p>
      <w:pPr>
        <w:autoSpaceDE w:val="0"/>
        <w:spacing w:line="60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（六）贯彻执行劳动人事争议调解仲裁制度和劳动关系政策，完善劳动关系协商协调机制，贯彻落实职工工作时间、休息休假和假期制度。组织实施劳动保障监察，协调劳动者维权工作。</w:t>
      </w:r>
    </w:p>
    <w:p>
      <w:pPr>
        <w:autoSpaceDE w:val="0"/>
        <w:spacing w:line="60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七）牵头推进深化职称制度改革，贯彻执行专业技术人员管理和继续教育等政策，负责高层次专业技术人才选拔和培养工作。贯彻执行技能人才培养、评价、使用和激励制度。完善职业资格制度，健全职业技能多元化评价政策。</w:t>
      </w:r>
    </w:p>
    <w:p>
      <w:pPr>
        <w:autoSpaceDE w:val="0"/>
        <w:spacing w:line="60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（八）会同有关部门指导事业单位人事制度改革。按照管理权限负责规范事业单位岗位设置、公开招聘、聘用合同等人事综合管理工作，贯彻落实事业单位工作人员和机关工勤人员管理政策。</w:t>
      </w:r>
    </w:p>
    <w:p>
      <w:pPr>
        <w:autoSpaceDE w:val="0"/>
        <w:spacing w:line="60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（九）会同有关部门拟订全县事业单位人员工资收入分配政策，建立企事业单位人员工资决定、正常增长和支付保障机制。拟订全县企事业单位人员福利和离退休政策措施。</w:t>
      </w:r>
    </w:p>
    <w:p>
      <w:pPr>
        <w:autoSpaceDE w:val="0"/>
        <w:spacing w:line="60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（十）会同有关部门拟订农民工工作的综合性政策和规划，推动相关政策落实，协调解决重点难点问题，维护农民工合法权益。</w:t>
      </w:r>
    </w:p>
    <w:p>
      <w:pPr>
        <w:autoSpaceDE w:val="0"/>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仿宋_GB2312" w:eastAsia="仿宋_GB2312" w:cs="仿宋_GB2312"/>
          <w:kern w:val="0"/>
          <w:sz w:val="32"/>
          <w:szCs w:val="32"/>
          <w:highlight w:val="none"/>
        </w:rPr>
        <w:t>（十一）完成县委、县政府交办的其他事项。</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栾川县人力资源和社会保障局是栾川县人民政府主管全县人力资源和社会保障工作的政府部门，现有3个股室。下属5个事业单位 </w:t>
      </w:r>
    </w:p>
    <w:p>
      <w:pPr>
        <w:widowControl/>
        <w:shd w:val="clear" w:color="auto" w:fill="FFFFFF"/>
        <w:spacing w:line="580" w:lineRule="exact"/>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从决算单位构成看，人社部门决算包括：本级决算、所属事业单位决算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本决算为汇总决算</w:t>
      </w:r>
      <w:r>
        <w:rPr>
          <w:rFonts w:hint="eastAsia" w:ascii="仿宋_GB2312" w:hAnsi="仿宋_GB2312" w:eastAsia="仿宋_GB2312" w:cs="仿宋_GB2312"/>
          <w:kern w:val="0"/>
          <w:sz w:val="32"/>
          <w:szCs w:val="32"/>
          <w:highlight w:val="none"/>
          <w:lang w:eastAsia="zh-CN"/>
        </w:rPr>
        <w:t>。</w:t>
      </w:r>
    </w:p>
    <w:p>
      <w:pPr>
        <w:widowControl/>
        <w:shd w:val="clear" w:color="auto" w:fill="FFFFFF"/>
        <w:spacing w:line="58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纳入本部门2019年度部门决算编制范围的单位共</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个，其中二级预算单位</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个，具体是：</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eastAsia="zh-CN"/>
        </w:rPr>
        <w:t>人社局</w:t>
      </w:r>
      <w:r>
        <w:rPr>
          <w:rFonts w:hint="eastAsia" w:ascii="仿宋_GB2312" w:hAnsi="仿宋_GB2312" w:eastAsia="仿宋_GB2312" w:cs="仿宋_GB2312"/>
          <w:kern w:val="0"/>
          <w:sz w:val="32"/>
          <w:szCs w:val="32"/>
          <w:highlight w:val="none"/>
        </w:rPr>
        <w:t>本级</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w:t>
      </w:r>
      <w:r>
        <w:rPr>
          <w:rFonts w:hint="eastAsia" w:ascii="仿宋_GB2312" w:hAnsi="仿宋_GB2312" w:eastAsia="仿宋_GB2312" w:cs="仿宋_GB2312"/>
          <w:kern w:val="0"/>
          <w:sz w:val="32"/>
          <w:szCs w:val="32"/>
          <w:highlight w:val="none"/>
          <w:lang w:eastAsia="zh-CN"/>
        </w:rPr>
        <w:t>公共就业中心</w:t>
      </w:r>
      <w:r>
        <w:rPr>
          <w:rFonts w:hint="eastAsia" w:ascii="仿宋_GB2312" w:hAnsi="仿宋_GB2312" w:eastAsia="仿宋_GB2312" w:cs="仿宋_GB2312"/>
          <w:kern w:val="0"/>
          <w:sz w:val="32"/>
          <w:szCs w:val="32"/>
          <w:highlight w:val="none"/>
        </w:rPr>
        <w:t>服务中心</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w:t>
      </w:r>
      <w:r>
        <w:rPr>
          <w:rFonts w:hint="eastAsia" w:ascii="仿宋_GB2312" w:hAnsi="仿宋_GB2312" w:eastAsia="仿宋_GB2312" w:cs="仿宋_GB2312"/>
          <w:kern w:val="0"/>
          <w:sz w:val="32"/>
          <w:szCs w:val="32"/>
          <w:highlight w:val="none"/>
          <w:lang w:eastAsia="zh-CN"/>
        </w:rPr>
        <w:t>人才人事公共服务中心</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4.城乡居民养老保险管理中心</w:t>
      </w: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2019年度部门决算表</w:t>
      </w: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jc w:val="center"/>
        <w:rPr>
          <w:rFonts w:hint="eastAsia" w:ascii="仿宋_GB2312" w:hAnsi="仿宋_GB2312" w:eastAsia="仿宋_GB2312" w:cs="仿宋_GB2312"/>
          <w:sz w:val="15"/>
          <w:szCs w:val="15"/>
          <w:lang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15"/>
          <w:szCs w:val="15"/>
          <w:lang w:eastAsia="zh-CN"/>
        </w:rPr>
        <w:drawing>
          <wp:inline distT="0" distB="0" distL="114300" distR="114300">
            <wp:extent cx="7068820" cy="5273040"/>
            <wp:effectExtent l="0" t="0" r="17780" b="3810"/>
            <wp:docPr id="15" name="图片 15" descr="16052313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05231306(1)"/>
                    <pic:cNvPicPr>
                      <a:picLocks noChangeAspect="1"/>
                    </pic:cNvPicPr>
                  </pic:nvPicPr>
                  <pic:blipFill>
                    <a:blip r:embed="rId6"/>
                    <a:stretch>
                      <a:fillRect/>
                    </a:stretch>
                  </pic:blipFill>
                  <pic:spPr>
                    <a:xfrm>
                      <a:off x="0" y="0"/>
                      <a:ext cx="7068820" cy="5273040"/>
                    </a:xfrm>
                    <a:prstGeom prst="rect">
                      <a:avLst/>
                    </a:prstGeom>
                  </pic:spPr>
                </pic:pic>
              </a:graphicData>
            </a:graphic>
          </wp:inline>
        </w:drawing>
      </w:r>
    </w:p>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8860155" cy="4871720"/>
            <wp:effectExtent l="0" t="0" r="17145" b="5080"/>
            <wp:docPr id="16" name="图片 16" descr="16052315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05231501(1)"/>
                    <pic:cNvPicPr>
                      <a:picLocks noChangeAspect="1"/>
                    </pic:cNvPicPr>
                  </pic:nvPicPr>
                  <pic:blipFill>
                    <a:blip r:embed="rId7"/>
                    <a:stretch>
                      <a:fillRect/>
                    </a:stretch>
                  </pic:blipFill>
                  <pic:spPr>
                    <a:xfrm>
                      <a:off x="0" y="0"/>
                      <a:ext cx="8860155" cy="4871720"/>
                    </a:xfrm>
                    <a:prstGeom prst="rect">
                      <a:avLst/>
                    </a:prstGeom>
                  </pic:spPr>
                </pic:pic>
              </a:graphicData>
            </a:graphic>
          </wp:inline>
        </w:drawing>
      </w:r>
    </w:p>
    <w:p>
      <w:pPr>
        <w:jc w:val="center"/>
        <w:rPr>
          <w:rFonts w:hint="eastAsia" w:ascii="仿宋_GB2312" w:hAnsi="仿宋_GB2312" w:eastAsia="仿宋_GB2312" w:cs="仿宋_GB2312"/>
          <w:sz w:val="32"/>
          <w:szCs w:val="32"/>
          <w:lang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lang w:eastAsia="zh-CN"/>
        </w:rPr>
        <w:drawing>
          <wp:inline distT="0" distB="0" distL="114300" distR="114300">
            <wp:extent cx="8862695" cy="4925695"/>
            <wp:effectExtent l="0" t="0" r="14605" b="8255"/>
            <wp:docPr id="17" name="图片 17" descr="16052315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605231597(1)"/>
                    <pic:cNvPicPr>
                      <a:picLocks noChangeAspect="1"/>
                    </pic:cNvPicPr>
                  </pic:nvPicPr>
                  <pic:blipFill>
                    <a:blip r:embed="rId8"/>
                    <a:stretch>
                      <a:fillRect/>
                    </a:stretch>
                  </pic:blipFill>
                  <pic:spPr>
                    <a:xfrm>
                      <a:off x="0" y="0"/>
                      <a:ext cx="8862695" cy="4925695"/>
                    </a:xfrm>
                    <a:prstGeom prst="rect">
                      <a:avLst/>
                    </a:prstGeom>
                  </pic:spPr>
                </pic:pic>
              </a:graphicData>
            </a:graphic>
          </wp:inline>
        </w:drawing>
      </w:r>
    </w:p>
    <w:p>
      <w:pPr>
        <w:jc w:val="center"/>
        <w:rPr>
          <w:rFonts w:hint="eastAsia" w:ascii="仿宋_GB2312" w:hAnsi="仿宋_GB2312" w:eastAsia="仿宋_GB2312" w:cs="仿宋_GB2312"/>
          <w:sz w:val="32"/>
          <w:szCs w:val="32"/>
          <w:lang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lang w:eastAsia="zh-CN"/>
        </w:rPr>
        <w:drawing>
          <wp:inline distT="0" distB="0" distL="114300" distR="114300">
            <wp:extent cx="6645275" cy="5267325"/>
            <wp:effectExtent l="0" t="0" r="3175" b="9525"/>
            <wp:docPr id="19" name="图片 19" descr="16052317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05231730(1)"/>
                    <pic:cNvPicPr>
                      <a:picLocks noChangeAspect="1"/>
                    </pic:cNvPicPr>
                  </pic:nvPicPr>
                  <pic:blipFill>
                    <a:blip r:embed="rId9"/>
                    <a:stretch>
                      <a:fillRect/>
                    </a:stretch>
                  </pic:blipFill>
                  <pic:spPr>
                    <a:xfrm>
                      <a:off x="0" y="0"/>
                      <a:ext cx="6645275" cy="5267325"/>
                    </a:xfrm>
                    <a:prstGeom prst="rect">
                      <a:avLst/>
                    </a:prstGeom>
                  </pic:spPr>
                </pic:pic>
              </a:graphicData>
            </a:graphic>
          </wp:inline>
        </w:drawing>
      </w:r>
    </w:p>
    <w:p>
      <w:pPr>
        <w:jc w:val="center"/>
        <w:rPr>
          <w:rFonts w:hint="eastAsia" w:ascii="仿宋_GB2312" w:hAnsi="仿宋_GB2312" w:eastAsia="仿宋_GB2312" w:cs="仿宋_GB2312"/>
          <w:sz w:val="32"/>
          <w:szCs w:val="32"/>
          <w:lang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lang w:eastAsia="zh-CN"/>
        </w:rPr>
        <w:drawing>
          <wp:inline distT="0" distB="0" distL="114300" distR="114300">
            <wp:extent cx="7106920" cy="5270500"/>
            <wp:effectExtent l="0" t="0" r="17780" b="6350"/>
            <wp:docPr id="20" name="图片 20" descr="16052317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605231792(1)"/>
                    <pic:cNvPicPr>
                      <a:picLocks noChangeAspect="1"/>
                    </pic:cNvPicPr>
                  </pic:nvPicPr>
                  <pic:blipFill>
                    <a:blip r:embed="rId10"/>
                    <a:stretch>
                      <a:fillRect/>
                    </a:stretch>
                  </pic:blipFill>
                  <pic:spPr>
                    <a:xfrm>
                      <a:off x="0" y="0"/>
                      <a:ext cx="7106920" cy="5270500"/>
                    </a:xfrm>
                    <a:prstGeom prst="rect">
                      <a:avLst/>
                    </a:prstGeom>
                  </pic:spPr>
                </pic:pic>
              </a:graphicData>
            </a:graphic>
          </wp:inline>
        </w:drawing>
      </w:r>
    </w:p>
    <w:p>
      <w:pPr>
        <w:jc w:val="center"/>
        <w:rPr>
          <w:rFonts w:hint="eastAsia" w:ascii="仿宋_GB2312" w:hAnsi="仿宋_GB2312" w:eastAsia="仿宋_GB2312" w:cs="仿宋_GB2312"/>
          <w:sz w:val="32"/>
          <w:szCs w:val="32"/>
          <w:lang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lang w:eastAsia="zh-CN"/>
        </w:rPr>
        <w:drawing>
          <wp:inline distT="0" distB="0" distL="114300" distR="114300">
            <wp:extent cx="8861425" cy="5198745"/>
            <wp:effectExtent l="0" t="0" r="15875" b="1905"/>
            <wp:docPr id="21" name="图片 21" descr="16052320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605232027(1)"/>
                    <pic:cNvPicPr>
                      <a:picLocks noChangeAspect="1"/>
                    </pic:cNvPicPr>
                  </pic:nvPicPr>
                  <pic:blipFill>
                    <a:blip r:embed="rId11"/>
                    <a:stretch>
                      <a:fillRect/>
                    </a:stretch>
                  </pic:blipFill>
                  <pic:spPr>
                    <a:xfrm>
                      <a:off x="0" y="0"/>
                      <a:ext cx="8861425" cy="5198745"/>
                    </a:xfrm>
                    <a:prstGeom prst="rect">
                      <a:avLst/>
                    </a:prstGeom>
                  </pic:spPr>
                </pic:pic>
              </a:graphicData>
            </a:graphic>
          </wp:inline>
        </w:drawing>
      </w:r>
    </w:p>
    <w:p>
      <w:pPr>
        <w:jc w:val="center"/>
        <w:rPr>
          <w:rFonts w:hint="eastAsia" w:ascii="仿宋_GB2312" w:hAnsi="仿宋_GB2312" w:eastAsia="仿宋_GB2312" w:cs="仿宋_GB2312"/>
          <w:sz w:val="32"/>
          <w:szCs w:val="32"/>
          <w:lang w:eastAsia="zh-CN"/>
        </w:rPr>
      </w:pPr>
    </w:p>
    <w:p>
      <w:pPr>
        <w:jc w:val="center"/>
        <w:rPr>
          <w:rFonts w:hint="eastAsia" w:ascii="仿宋_GB2312" w:hAnsi="仿宋_GB2312" w:eastAsia="仿宋_GB2312" w:cs="仿宋_GB2312"/>
          <w:sz w:val="32"/>
          <w:szCs w:val="32"/>
          <w:lang w:eastAsia="zh-CN"/>
        </w:rPr>
      </w:pPr>
    </w:p>
    <w:p>
      <w:pPr>
        <w:jc w:val="center"/>
        <w:rPr>
          <w:rFonts w:hint="eastAsia" w:ascii="仿宋_GB2312" w:hAnsi="仿宋_GB2312" w:eastAsia="仿宋_GB2312" w:cs="仿宋_GB2312"/>
          <w:sz w:val="32"/>
          <w:szCs w:val="32"/>
          <w:lang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lang w:eastAsia="zh-CN"/>
        </w:rPr>
        <w:drawing>
          <wp:inline distT="0" distB="0" distL="114300" distR="114300">
            <wp:extent cx="8858885" cy="1849120"/>
            <wp:effectExtent l="0" t="0" r="18415" b="17780"/>
            <wp:docPr id="4" name="图片 4" descr="16058366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05836632(1)"/>
                    <pic:cNvPicPr>
                      <a:picLocks noChangeAspect="1"/>
                    </pic:cNvPicPr>
                  </pic:nvPicPr>
                  <pic:blipFill>
                    <a:blip r:embed="rId12"/>
                    <a:stretch>
                      <a:fillRect/>
                    </a:stretch>
                  </pic:blipFill>
                  <pic:spPr>
                    <a:xfrm>
                      <a:off x="0" y="0"/>
                      <a:ext cx="8858885" cy="1849120"/>
                    </a:xfrm>
                    <a:prstGeom prst="rect">
                      <a:avLst/>
                    </a:prstGeom>
                  </pic:spPr>
                </pic:pic>
              </a:graphicData>
            </a:graphic>
          </wp:inline>
        </w:drawing>
      </w:r>
    </w:p>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8743950" cy="2815590"/>
            <wp:effectExtent l="0" t="0" r="0" b="3810"/>
            <wp:docPr id="23" name="图片 23" descr="16052321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1605232183(1)"/>
                    <pic:cNvPicPr>
                      <a:picLocks noChangeAspect="1"/>
                    </pic:cNvPicPr>
                  </pic:nvPicPr>
                  <pic:blipFill>
                    <a:blip r:embed="rId13"/>
                    <a:stretch>
                      <a:fillRect/>
                    </a:stretch>
                  </pic:blipFill>
                  <pic:spPr>
                    <a:xfrm>
                      <a:off x="0" y="0"/>
                      <a:ext cx="8743950" cy="2815590"/>
                    </a:xfrm>
                    <a:prstGeom prst="rect">
                      <a:avLst/>
                    </a:prstGeom>
                  </pic:spPr>
                </pic:pic>
              </a:graphicData>
            </a:graphic>
          </wp:inline>
        </w:drawing>
      </w:r>
    </w:p>
    <w:p>
      <w:pPr>
        <w:jc w:val="left"/>
        <w:rPr>
          <w:rFonts w:hint="eastAsia" w:ascii="仿宋_GB2312" w:hAnsi="仿宋_GB2312" w:eastAsia="仿宋_GB2312" w:cs="仿宋_GB2312"/>
          <w:sz w:val="32"/>
          <w:szCs w:val="32"/>
          <w:highlight w:val="none"/>
          <w:lang w:eastAsia="zh-CN"/>
        </w:rPr>
        <w:sectPr>
          <w:pgSz w:w="16838" w:h="11906" w:orient="landscape"/>
          <w:pgMar w:top="2098" w:right="1474" w:bottom="1984" w:left="1587" w:header="720" w:footer="720" w:gutter="0"/>
          <w:pgNumType w:fmt="numberInDash"/>
          <w:cols w:space="720" w:num="1"/>
          <w:docGrid w:type="lines" w:linePitch="312" w:charSpace="0"/>
        </w:sectPr>
      </w:pPr>
      <w:r>
        <w:rPr>
          <w:rFonts w:hint="eastAsia" w:ascii="仿宋_GB2312" w:hAnsi="仿宋_GB2312" w:eastAsia="仿宋_GB2312" w:cs="仿宋_GB2312"/>
          <w:sz w:val="32"/>
          <w:szCs w:val="32"/>
          <w:highlight w:val="none"/>
        </w:rPr>
        <w:t>说明：我部门没有政府性基金收入，也没有使用政府性基金安排的支出，故本表无数据。</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2019年度部门决算情况说明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2019年度收、支总计均为5,113.45万元。与上年度相比，收、支总计各增加1,408.38万元，增长38.01%。主要原因是</w:t>
      </w:r>
      <w:r>
        <w:rPr>
          <w:rFonts w:hint="eastAsia" w:ascii="仿宋_GB2312" w:hAnsi="仿宋_GB2312" w:eastAsia="仿宋_GB2312" w:cs="仿宋_GB2312"/>
          <w:sz w:val="32"/>
          <w:szCs w:val="32"/>
        </w:rPr>
        <w:t>原来有财政局列支的全县公益性岗位人员工资纳入人社局。</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spacing w:beforeLines="0" w:afterLines="0"/>
        <w:ind w:firstLine="640" w:firstLineChars="200"/>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sz w:val="32"/>
          <w:szCs w:val="32"/>
          <w:lang w:val="zh-CN"/>
        </w:rPr>
        <w:t>2019年度收入合计4,926.06万元，其中：</w:t>
      </w:r>
      <w:r>
        <w:rPr>
          <w:rFonts w:hint="eastAsia" w:ascii="仿宋_GB2312" w:hAnsi="仿宋_GB2312" w:eastAsia="仿宋_GB2312" w:cs="仿宋_GB2312"/>
          <w:sz w:val="32"/>
          <w:szCs w:val="32"/>
          <w:lang w:val="en-US"/>
        </w:rPr>
        <w:t>财政拨款收入4,926.06万元，占100%</w:t>
      </w:r>
      <w:r>
        <w:rPr>
          <w:rFonts w:hint="eastAsia" w:ascii="仿宋_GB2312" w:hAnsi="仿宋_GB2312" w:eastAsia="仿宋_GB2312" w:cs="仿宋_GB2312"/>
          <w:kern w:val="0"/>
          <w:sz w:val="32"/>
          <w:szCs w:val="32"/>
          <w:lang w:val="zh-CN"/>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spacing w:beforeLines="0" w:afterLines="0"/>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2019年度支出合计4,308.11万元，其中：基本支出943.74万元，占21.91%；项目支出3,364.37万元，占78.09%。</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hint="default"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2019年度财政拨款收、支总计均为5,113.45万元。与上年度相比，财政拨款收、支总计各增加1,408.38万元，增长38.01%。主要原因是</w:t>
      </w:r>
      <w:r>
        <w:rPr>
          <w:rFonts w:hint="eastAsia" w:ascii="仿宋_GB2312" w:hAnsi="仿宋_GB2312" w:eastAsia="仿宋_GB2312" w:cs="仿宋_GB2312"/>
          <w:sz w:val="32"/>
          <w:szCs w:val="32"/>
        </w:rPr>
        <w:t>原来有财政局列支的全县公益性岗位人员工资纳入人社局。</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hint="default"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2019年度一般公共预算财政拨款支出4,308.11万元，占本年支出合计的100%。与上年度相比，一般公共预算财政拨款支出增加854.59万元，增长24.74%。主要原因是</w:t>
      </w:r>
      <w:r>
        <w:rPr>
          <w:rFonts w:hint="eastAsia" w:ascii="仿宋_GB2312" w:hAnsi="仿宋_GB2312" w:eastAsia="仿宋_GB2312" w:cs="仿宋_GB2312"/>
          <w:sz w:val="32"/>
          <w:szCs w:val="32"/>
        </w:rPr>
        <w:t>原来有财政局列支的全县公益性岗位人员工资纳入人社局</w:t>
      </w:r>
      <w:r>
        <w:rPr>
          <w:rFonts w:hint="eastAsia" w:ascii="仿宋_GB2312" w:hAnsi="仿宋_GB2312" w:eastAsia="仿宋_GB2312" w:cs="仿宋_GB2312"/>
          <w:sz w:val="32"/>
          <w:szCs w:val="32"/>
          <w:lang w:val="zh-CN"/>
        </w:rPr>
        <w:t>。</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2019年度一般公共预算财政拨款支出4,308.11万元，主要用于以下方面：一般公共服务（类）支出</w:t>
      </w:r>
      <w:r>
        <w:rPr>
          <w:rFonts w:hint="eastAsia" w:ascii="仿宋_GB2312" w:hAnsi="仿宋_GB2312" w:eastAsia="仿宋_GB2312" w:cs="仿宋_GB2312"/>
          <w:sz w:val="32"/>
          <w:szCs w:val="32"/>
          <w:lang w:val="en-US" w:eastAsia="zh-CN"/>
        </w:rPr>
        <w:t>154.05</w:t>
      </w:r>
      <w:r>
        <w:rPr>
          <w:rFonts w:hint="eastAsia" w:ascii="仿宋_GB2312" w:hAnsi="仿宋_GB2312" w:eastAsia="仿宋_GB2312" w:cs="仿宋_GB2312"/>
          <w:sz w:val="32"/>
          <w:szCs w:val="32"/>
          <w:lang w:val="zh-CN"/>
        </w:rPr>
        <w:t>万元，占</w:t>
      </w:r>
      <w:r>
        <w:rPr>
          <w:rFonts w:hint="eastAsia" w:ascii="仿宋_GB2312" w:hAnsi="仿宋_GB2312" w:eastAsia="仿宋_GB2312" w:cs="仿宋_GB2312"/>
          <w:sz w:val="32"/>
          <w:szCs w:val="32"/>
          <w:lang w:val="en-US" w:eastAsia="zh-CN"/>
        </w:rPr>
        <w:t>3.57</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社会和就业保障支出</w:t>
      </w:r>
      <w:r>
        <w:rPr>
          <w:rFonts w:hint="eastAsia" w:ascii="仿宋_GB2312" w:hAnsi="仿宋_GB2312" w:eastAsia="仿宋_GB2312" w:cs="仿宋_GB2312"/>
          <w:sz w:val="32"/>
          <w:szCs w:val="32"/>
          <w:lang w:val="zh-CN"/>
        </w:rPr>
        <w:t>（类）支出</w:t>
      </w:r>
      <w:r>
        <w:rPr>
          <w:rFonts w:hint="eastAsia" w:ascii="仿宋_GB2312" w:hAnsi="仿宋_GB2312" w:eastAsia="仿宋_GB2312" w:cs="仿宋_GB2312"/>
          <w:sz w:val="32"/>
          <w:szCs w:val="32"/>
          <w:lang w:val="en-US" w:eastAsia="zh-CN"/>
        </w:rPr>
        <w:t>3676.3</w:t>
      </w:r>
      <w:r>
        <w:rPr>
          <w:rFonts w:hint="eastAsia" w:ascii="仿宋_GB2312" w:hAnsi="仿宋_GB2312" w:eastAsia="仿宋_GB2312" w:cs="仿宋_GB2312"/>
          <w:sz w:val="32"/>
          <w:szCs w:val="32"/>
          <w:lang w:val="zh-CN"/>
        </w:rPr>
        <w:t>万元，占</w:t>
      </w:r>
      <w:r>
        <w:rPr>
          <w:rFonts w:hint="eastAsia" w:ascii="仿宋_GB2312" w:hAnsi="仿宋_GB2312" w:eastAsia="仿宋_GB2312" w:cs="仿宋_GB2312"/>
          <w:sz w:val="32"/>
          <w:szCs w:val="32"/>
          <w:lang w:val="en-US" w:eastAsia="zh-CN"/>
        </w:rPr>
        <w:t>85.33</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农林水支出万元</w:t>
      </w:r>
      <w:r>
        <w:rPr>
          <w:rFonts w:hint="eastAsia" w:ascii="仿宋_GB2312" w:hAnsi="仿宋_GB2312" w:eastAsia="仿宋_GB2312" w:cs="仿宋_GB2312"/>
          <w:sz w:val="32"/>
          <w:szCs w:val="32"/>
          <w:lang w:val="en-US" w:eastAsia="zh-CN"/>
        </w:rPr>
        <w:t>477.76</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11.1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spacing w:beforeLines="0" w:afterLines="0"/>
        <w:ind w:firstLine="640" w:firstLineChars="200"/>
        <w:jc w:val="left"/>
        <w:rPr>
          <w:rFonts w:hint="default" w:ascii="Times New Roman" w:hAnsi="Times New Roman" w:eastAsia="Times New Roman"/>
          <w:kern w:val="0"/>
          <w:sz w:val="18"/>
          <w:lang w:val="zh-CN"/>
        </w:rPr>
      </w:pPr>
      <w:r>
        <w:rPr>
          <w:rFonts w:hint="eastAsia" w:ascii="仿宋_GB2312" w:hAnsi="仿宋_GB2312" w:eastAsia="仿宋_GB2312" w:cs="仿宋_GB2312"/>
          <w:sz w:val="32"/>
          <w:szCs w:val="32"/>
          <w:lang w:val="zh-CN"/>
        </w:rPr>
        <w:t>2019年度一般公共预算财政拨款支出年初预算为2,938.57万元，支出决算为4,308.11万元，完成年初预算的146.</w:t>
      </w:r>
      <w:r>
        <w:rPr>
          <w:rFonts w:hint="eastAsia" w:ascii="仿宋_GB2312" w:hAnsi="仿宋_GB2312" w:eastAsia="仿宋_GB2312" w:cs="仿宋_GB2312"/>
          <w:sz w:val="32"/>
          <w:szCs w:val="32"/>
          <w:lang w:val="en-US" w:eastAsia="zh-CN"/>
        </w:rPr>
        <w:t>61</w:t>
      </w:r>
      <w:r>
        <w:rPr>
          <w:rFonts w:hint="eastAsia" w:ascii="仿宋_GB2312" w:hAnsi="仿宋_GB2312" w:eastAsia="仿宋_GB2312" w:cs="仿宋_GB2312"/>
          <w:sz w:val="32"/>
          <w:szCs w:val="32"/>
          <w:lang w:val="zh-CN"/>
        </w:rPr>
        <w:t>%。其中：</w:t>
      </w:r>
    </w:p>
    <w:p>
      <w:pPr>
        <w:numPr>
          <w:ilvl w:val="0"/>
          <w:numId w:val="2"/>
        </w:numPr>
        <w:spacing w:beforeLines="0" w:afterLines="0"/>
        <w:ind w:firstLine="640" w:firstLineChars="200"/>
        <w:jc w:val="left"/>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sz w:val="32"/>
          <w:szCs w:val="32"/>
          <w:highlight w:val="none"/>
          <w:lang w:val="zh-CN" w:eastAsia="zh-CN"/>
        </w:rPr>
        <w:t>一般公共服务支出</w:t>
      </w:r>
      <w:r>
        <w:rPr>
          <w:rFonts w:hint="eastAsia" w:ascii="仿宋_GB2312" w:hAnsi="仿宋_GB2312" w:eastAsia="仿宋_GB2312" w:cs="仿宋_GB2312"/>
          <w:sz w:val="32"/>
          <w:szCs w:val="32"/>
          <w:highlight w:val="none"/>
          <w:lang w:val="zh-CN"/>
        </w:rPr>
        <w:t>（类）人力资源事务支出（款）其他人力资源和社会事务支出（项）。年初预算为</w:t>
      </w:r>
      <w:r>
        <w:rPr>
          <w:rFonts w:hint="eastAsia" w:ascii="仿宋_GB2312" w:hAnsi="仿宋_GB2312" w:eastAsia="仿宋_GB2312" w:cs="仿宋_GB2312"/>
          <w:sz w:val="32"/>
          <w:szCs w:val="32"/>
          <w:highlight w:val="none"/>
          <w:lang w:val="en-US" w:eastAsia="zh-CN"/>
        </w:rPr>
        <w:t>55</w:t>
      </w:r>
      <w:r>
        <w:rPr>
          <w:rFonts w:hint="eastAsia" w:ascii="仿宋_GB2312" w:hAnsi="仿宋_GB2312" w:eastAsia="仿宋_GB2312" w:cs="仿宋_GB2312"/>
          <w:sz w:val="32"/>
          <w:szCs w:val="32"/>
          <w:highlight w:val="none"/>
        </w:rPr>
        <w:t>.03</w:t>
      </w:r>
      <w:r>
        <w:rPr>
          <w:rFonts w:hint="eastAsia" w:ascii="仿宋_GB2312" w:hAnsi="仿宋_GB2312" w:eastAsia="仿宋_GB2312" w:cs="仿宋_GB2312"/>
          <w:sz w:val="32"/>
          <w:szCs w:val="32"/>
          <w:highlight w:val="none"/>
          <w:lang w:val="zh-CN"/>
        </w:rPr>
        <w:t>万元，支出决算为</w:t>
      </w:r>
      <w:r>
        <w:rPr>
          <w:rFonts w:hint="eastAsia" w:ascii="仿宋_GB2312" w:hAnsi="仿宋_GB2312" w:eastAsia="仿宋_GB2312" w:cs="仿宋_GB2312"/>
          <w:sz w:val="32"/>
          <w:szCs w:val="32"/>
          <w:highlight w:val="none"/>
          <w:lang w:val="en-US" w:eastAsia="zh-CN"/>
        </w:rPr>
        <w:t>77</w:t>
      </w:r>
      <w:r>
        <w:rPr>
          <w:rFonts w:hint="eastAsia" w:ascii="仿宋_GB2312" w:hAnsi="仿宋_GB2312" w:eastAsia="仿宋_GB2312" w:cs="仿宋_GB2312"/>
          <w:b w:val="0"/>
          <w:bCs w:val="0"/>
          <w:sz w:val="32"/>
          <w:szCs w:val="32"/>
          <w:highlight w:val="none"/>
          <w:lang w:val="en-US" w:eastAsia="zh-CN"/>
        </w:rPr>
        <w:t>.19</w:t>
      </w:r>
      <w:r>
        <w:rPr>
          <w:rFonts w:hint="eastAsia" w:ascii="仿宋_GB2312" w:hAnsi="仿宋_GB2312" w:eastAsia="仿宋_GB2312" w:cs="仿宋_GB2312"/>
          <w:b w:val="0"/>
          <w:bCs w:val="0"/>
          <w:sz w:val="32"/>
          <w:szCs w:val="32"/>
          <w:highlight w:val="none"/>
          <w:lang w:val="zh-CN"/>
        </w:rPr>
        <w:t>万元，完成年初预算的</w:t>
      </w:r>
      <w:r>
        <w:rPr>
          <w:rFonts w:hint="eastAsia" w:ascii="仿宋_GB2312" w:hAnsi="仿宋_GB2312" w:eastAsia="仿宋_GB2312" w:cs="仿宋_GB2312"/>
          <w:b w:val="0"/>
          <w:bCs w:val="0"/>
          <w:sz w:val="32"/>
          <w:szCs w:val="32"/>
          <w:highlight w:val="none"/>
          <w:lang w:val="en-US" w:eastAsia="zh-CN"/>
        </w:rPr>
        <w:t>140</w:t>
      </w:r>
      <w:r>
        <w:rPr>
          <w:rFonts w:hint="eastAsia" w:ascii="仿宋_GB2312" w:hAnsi="仿宋_GB2312" w:eastAsia="仿宋_GB2312" w:cs="仿宋_GB2312"/>
          <w:b w:val="0"/>
          <w:bCs w:val="0"/>
          <w:sz w:val="32"/>
          <w:szCs w:val="32"/>
          <w:highlight w:val="none"/>
          <w:lang w:val="zh-CN"/>
        </w:rPr>
        <w:t>%。决算数与年初预算数存在差异的主要原因是</w:t>
      </w:r>
      <w:r>
        <w:rPr>
          <w:rFonts w:hint="eastAsia" w:ascii="仿宋_GB2312" w:hAnsi="仿宋_GB2312" w:eastAsia="仿宋_GB2312" w:cs="仿宋_GB2312"/>
          <w:b w:val="0"/>
          <w:bCs w:val="0"/>
          <w:sz w:val="32"/>
          <w:szCs w:val="32"/>
          <w:highlight w:val="none"/>
        </w:rPr>
        <w:t>有人员有变动。</w:t>
      </w:r>
    </w:p>
    <w:p>
      <w:pPr>
        <w:widowControl w:val="0"/>
        <w:numPr>
          <w:ilvl w:val="0"/>
          <w:numId w:val="0"/>
        </w:numPr>
        <w:spacing w:beforeLines="0" w:afterLines="0"/>
        <w:ind w:firstLine="320" w:firstLineChars="100"/>
        <w:jc w:val="left"/>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lang w:val="zh-CN" w:eastAsia="zh-CN"/>
        </w:rPr>
        <w:t>一般公共服务支出</w:t>
      </w:r>
      <w:r>
        <w:rPr>
          <w:rFonts w:hint="eastAsia" w:ascii="仿宋_GB2312" w:hAnsi="仿宋_GB2312" w:eastAsia="仿宋_GB2312" w:cs="仿宋_GB2312"/>
          <w:b w:val="0"/>
          <w:bCs w:val="0"/>
          <w:sz w:val="32"/>
          <w:szCs w:val="32"/>
          <w:highlight w:val="none"/>
          <w:lang w:val="zh-CN"/>
        </w:rPr>
        <w:t>（类）</w:t>
      </w:r>
      <w:r>
        <w:rPr>
          <w:rFonts w:hint="eastAsia" w:ascii="仿宋_GB2312" w:hAnsi="仿宋_GB2312" w:eastAsia="仿宋_GB2312" w:cs="仿宋_GB2312"/>
          <w:b w:val="0"/>
          <w:bCs w:val="0"/>
          <w:sz w:val="32"/>
          <w:szCs w:val="32"/>
          <w:highlight w:val="none"/>
          <w:lang w:val="zh-CN" w:eastAsia="zh-CN"/>
        </w:rPr>
        <w:t>党委办公厅及相关机构事务</w:t>
      </w:r>
      <w:r>
        <w:rPr>
          <w:rFonts w:hint="eastAsia" w:ascii="仿宋_GB2312" w:hAnsi="仿宋_GB2312" w:eastAsia="仿宋_GB2312" w:cs="仿宋_GB2312"/>
          <w:b w:val="0"/>
          <w:bCs w:val="0"/>
          <w:sz w:val="32"/>
          <w:szCs w:val="32"/>
          <w:highlight w:val="none"/>
          <w:lang w:val="zh-CN"/>
        </w:rPr>
        <w:t>（款）其他党委办公厅及相关机构事务支出（项）。年初预算为</w:t>
      </w:r>
      <w:r>
        <w:rPr>
          <w:rFonts w:hint="eastAsia" w:ascii="仿宋_GB2312" w:hAnsi="仿宋_GB2312" w:eastAsia="仿宋_GB2312" w:cs="仿宋_GB2312"/>
          <w:b w:val="0"/>
          <w:bCs w:val="0"/>
          <w:sz w:val="32"/>
          <w:szCs w:val="32"/>
          <w:highlight w:val="none"/>
          <w:lang w:val="en-US" w:eastAsia="zh-CN"/>
        </w:rPr>
        <w:t>50</w:t>
      </w:r>
      <w:r>
        <w:rPr>
          <w:rFonts w:hint="eastAsia" w:ascii="仿宋_GB2312" w:hAnsi="仿宋_GB2312" w:eastAsia="仿宋_GB2312" w:cs="仿宋_GB2312"/>
          <w:b w:val="0"/>
          <w:bCs w:val="0"/>
          <w:sz w:val="32"/>
          <w:szCs w:val="32"/>
          <w:highlight w:val="none"/>
          <w:lang w:val="zh-CN"/>
        </w:rPr>
        <w:t>万元，支出决算为</w:t>
      </w:r>
      <w:r>
        <w:rPr>
          <w:rFonts w:hint="eastAsia" w:ascii="仿宋_GB2312" w:hAnsi="仿宋_GB2312" w:eastAsia="仿宋_GB2312" w:cs="仿宋_GB2312"/>
          <w:b w:val="0"/>
          <w:bCs w:val="0"/>
          <w:sz w:val="32"/>
          <w:szCs w:val="32"/>
          <w:highlight w:val="none"/>
          <w:lang w:val="en-US" w:eastAsia="zh-CN"/>
        </w:rPr>
        <w:t>76.85</w:t>
      </w:r>
      <w:r>
        <w:rPr>
          <w:rFonts w:hint="eastAsia" w:ascii="仿宋_GB2312" w:hAnsi="仿宋_GB2312" w:eastAsia="仿宋_GB2312" w:cs="仿宋_GB2312"/>
          <w:b w:val="0"/>
          <w:bCs w:val="0"/>
          <w:sz w:val="32"/>
          <w:szCs w:val="32"/>
          <w:highlight w:val="none"/>
          <w:lang w:val="zh-CN"/>
        </w:rPr>
        <w:t>万元，完成年初预算的</w:t>
      </w:r>
      <w:r>
        <w:rPr>
          <w:rFonts w:hint="eastAsia" w:ascii="仿宋_GB2312" w:hAnsi="仿宋_GB2312" w:eastAsia="仿宋_GB2312" w:cs="仿宋_GB2312"/>
          <w:b w:val="0"/>
          <w:bCs w:val="0"/>
          <w:sz w:val="32"/>
          <w:szCs w:val="32"/>
          <w:highlight w:val="none"/>
          <w:lang w:val="en-US" w:eastAsia="zh-CN"/>
        </w:rPr>
        <w:t>154</w:t>
      </w:r>
      <w:r>
        <w:rPr>
          <w:rFonts w:hint="eastAsia" w:ascii="仿宋_GB2312" w:hAnsi="仿宋_GB2312" w:eastAsia="仿宋_GB2312" w:cs="仿宋_GB2312"/>
          <w:b w:val="0"/>
          <w:bCs w:val="0"/>
          <w:sz w:val="32"/>
          <w:szCs w:val="32"/>
          <w:highlight w:val="none"/>
          <w:lang w:val="zh-CN"/>
        </w:rPr>
        <w:t>%。决算数与年初预算数存在差异的主要原因是</w:t>
      </w:r>
      <w:r>
        <w:rPr>
          <w:rFonts w:hint="eastAsia" w:ascii="仿宋_GB2312" w:hAnsi="仿宋_GB2312" w:eastAsia="仿宋_GB2312" w:cs="仿宋_GB2312"/>
          <w:b w:val="0"/>
          <w:bCs w:val="0"/>
          <w:sz w:val="32"/>
          <w:szCs w:val="32"/>
          <w:highlight w:val="none"/>
        </w:rPr>
        <w:t>有人员有变动。</w:t>
      </w:r>
    </w:p>
    <w:p>
      <w:pPr>
        <w:spacing w:beforeLines="0" w:afterLines="0"/>
        <w:ind w:firstLine="640" w:firstLineChars="200"/>
        <w:jc w:val="left"/>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lang w:val="zh-CN"/>
        </w:rPr>
        <w:t>．</w:t>
      </w:r>
      <w:r>
        <w:rPr>
          <w:rFonts w:hint="eastAsia" w:ascii="仿宋_GB2312" w:hAnsi="仿宋_GB2312" w:eastAsia="仿宋_GB2312" w:cs="仿宋_GB2312"/>
          <w:b w:val="0"/>
          <w:bCs w:val="0"/>
          <w:sz w:val="32"/>
          <w:szCs w:val="32"/>
          <w:highlight w:val="none"/>
          <w:lang w:eastAsia="zh-CN"/>
        </w:rPr>
        <w:t>社会保障和就业支出</w:t>
      </w:r>
      <w:r>
        <w:rPr>
          <w:rFonts w:hint="eastAsia" w:ascii="仿宋_GB2312" w:hAnsi="仿宋_GB2312" w:eastAsia="仿宋_GB2312" w:cs="仿宋_GB2312"/>
          <w:b w:val="0"/>
          <w:bCs w:val="0"/>
          <w:sz w:val="32"/>
          <w:szCs w:val="32"/>
          <w:highlight w:val="none"/>
        </w:rPr>
        <w:t>（类）</w:t>
      </w:r>
      <w:r>
        <w:rPr>
          <w:rFonts w:hint="eastAsia" w:ascii="仿宋_GB2312" w:hAnsi="仿宋_GB2312" w:eastAsia="仿宋_GB2312" w:cs="仿宋_GB2312"/>
          <w:b w:val="0"/>
          <w:bCs w:val="0"/>
          <w:sz w:val="32"/>
          <w:szCs w:val="32"/>
          <w:highlight w:val="none"/>
          <w:lang w:eastAsia="zh-CN"/>
        </w:rPr>
        <w:t>人力资源和社会保障管理事务</w:t>
      </w:r>
      <w:r>
        <w:rPr>
          <w:rFonts w:hint="eastAsia" w:ascii="仿宋_GB2312" w:hAnsi="仿宋_GB2312" w:eastAsia="仿宋_GB2312" w:cs="仿宋_GB2312"/>
          <w:b w:val="0"/>
          <w:bCs w:val="0"/>
          <w:sz w:val="32"/>
          <w:szCs w:val="32"/>
          <w:highlight w:val="none"/>
        </w:rPr>
        <w:t>（款）</w:t>
      </w:r>
      <w:r>
        <w:rPr>
          <w:rFonts w:hint="eastAsia" w:ascii="仿宋_GB2312" w:hAnsi="仿宋_GB2312" w:eastAsia="仿宋_GB2312" w:cs="仿宋_GB2312"/>
          <w:b w:val="0"/>
          <w:bCs w:val="0"/>
          <w:sz w:val="32"/>
          <w:szCs w:val="32"/>
          <w:highlight w:val="none"/>
          <w:lang w:eastAsia="zh-CN"/>
        </w:rPr>
        <w:t>行政运行</w:t>
      </w:r>
      <w:r>
        <w:rPr>
          <w:rFonts w:hint="eastAsia" w:ascii="仿宋_GB2312" w:hAnsi="仿宋_GB2312" w:eastAsia="仿宋_GB2312" w:cs="仿宋_GB2312"/>
          <w:b w:val="0"/>
          <w:bCs w:val="0"/>
          <w:sz w:val="32"/>
          <w:szCs w:val="32"/>
          <w:highlight w:val="none"/>
        </w:rPr>
        <w:t>（项）</w:t>
      </w:r>
      <w:r>
        <w:rPr>
          <w:rFonts w:hint="eastAsia" w:ascii="仿宋_GB2312" w:hAnsi="仿宋_GB2312" w:eastAsia="仿宋_GB2312" w:cs="仿宋_GB2312"/>
          <w:b w:val="0"/>
          <w:bCs w:val="0"/>
          <w:sz w:val="32"/>
          <w:szCs w:val="32"/>
          <w:highlight w:val="none"/>
          <w:lang w:val="zh-CN"/>
        </w:rPr>
        <w:t>。年初预算为</w:t>
      </w:r>
      <w:r>
        <w:rPr>
          <w:rFonts w:hint="eastAsia" w:ascii="仿宋_GB2312" w:hAnsi="仿宋_GB2312" w:eastAsia="仿宋_GB2312" w:cs="仿宋_GB2312"/>
          <w:b w:val="0"/>
          <w:bCs w:val="0"/>
          <w:sz w:val="32"/>
          <w:szCs w:val="32"/>
          <w:highlight w:val="none"/>
          <w:lang w:val="en-US" w:eastAsia="zh-CN"/>
        </w:rPr>
        <w:t>835.54</w:t>
      </w:r>
      <w:r>
        <w:rPr>
          <w:rFonts w:hint="eastAsia" w:ascii="仿宋_GB2312" w:hAnsi="仿宋_GB2312" w:eastAsia="仿宋_GB2312" w:cs="仿宋_GB2312"/>
          <w:b w:val="0"/>
          <w:bCs w:val="0"/>
          <w:sz w:val="32"/>
          <w:szCs w:val="32"/>
          <w:highlight w:val="none"/>
          <w:lang w:val="zh-CN"/>
        </w:rPr>
        <w:t>万元，支出决算为</w:t>
      </w:r>
      <w:r>
        <w:rPr>
          <w:rFonts w:hint="eastAsia" w:ascii="仿宋_GB2312" w:hAnsi="仿宋_GB2312" w:eastAsia="仿宋_GB2312" w:cs="仿宋_GB2312"/>
          <w:b w:val="0"/>
          <w:bCs w:val="0"/>
          <w:sz w:val="32"/>
          <w:szCs w:val="32"/>
          <w:highlight w:val="none"/>
          <w:lang w:val="en-US" w:eastAsia="zh-CN"/>
        </w:rPr>
        <w:t>943.74</w:t>
      </w:r>
      <w:r>
        <w:rPr>
          <w:rFonts w:hint="eastAsia" w:ascii="仿宋_GB2312" w:hAnsi="仿宋_GB2312" w:eastAsia="仿宋_GB2312" w:cs="仿宋_GB2312"/>
          <w:b w:val="0"/>
          <w:bCs w:val="0"/>
          <w:sz w:val="32"/>
          <w:szCs w:val="32"/>
          <w:highlight w:val="none"/>
          <w:lang w:val="zh-CN"/>
        </w:rPr>
        <w:t>万元，完成年初预算的</w:t>
      </w:r>
      <w:r>
        <w:rPr>
          <w:rFonts w:hint="eastAsia" w:ascii="仿宋_GB2312" w:hAnsi="仿宋_GB2312" w:eastAsia="仿宋_GB2312" w:cs="仿宋_GB2312"/>
          <w:b w:val="0"/>
          <w:bCs w:val="0"/>
          <w:sz w:val="32"/>
          <w:szCs w:val="32"/>
          <w:highlight w:val="none"/>
          <w:lang w:val="en-US" w:eastAsia="zh-CN"/>
        </w:rPr>
        <w:t>113</w:t>
      </w:r>
      <w:r>
        <w:rPr>
          <w:rFonts w:hint="eastAsia" w:ascii="仿宋_GB2312" w:hAnsi="仿宋_GB2312" w:eastAsia="仿宋_GB2312" w:cs="仿宋_GB2312"/>
          <w:b w:val="0"/>
          <w:bCs w:val="0"/>
          <w:sz w:val="32"/>
          <w:szCs w:val="32"/>
          <w:highlight w:val="none"/>
          <w:lang w:val="zh-CN"/>
        </w:rPr>
        <w:t>%。决算数</w:t>
      </w:r>
      <w:r>
        <w:rPr>
          <w:rFonts w:hint="eastAsia" w:ascii="仿宋_GB2312" w:hAnsi="仿宋_GB2312" w:eastAsia="仿宋_GB2312" w:cs="仿宋_GB2312"/>
          <w:b w:val="0"/>
          <w:bCs w:val="0"/>
          <w:color w:val="000000" w:themeColor="text1"/>
          <w:sz w:val="32"/>
          <w:szCs w:val="32"/>
          <w:highlight w:val="none"/>
          <w:lang w:val="zh-CN"/>
          <w14:textFill>
            <w14:solidFill>
              <w14:schemeClr w14:val="tx1"/>
            </w14:solidFill>
          </w14:textFill>
        </w:rPr>
        <w:t>与年初预算数存在差异的主要原因是</w:t>
      </w:r>
      <w:r>
        <w:rPr>
          <w:rFonts w:hint="eastAsia" w:ascii="仿宋_GB2312" w:hAnsi="仿宋_GB2312" w:eastAsia="仿宋_GB2312" w:cs="仿宋_GB2312"/>
          <w:b w:val="0"/>
          <w:bCs w:val="0"/>
          <w:sz w:val="32"/>
          <w:szCs w:val="32"/>
          <w:highlight w:val="none"/>
        </w:rPr>
        <w:t>人员有变动</w:t>
      </w:r>
      <w:r>
        <w:rPr>
          <w:rFonts w:hint="eastAsia" w:ascii="仿宋_GB2312" w:hAnsi="仿宋_GB2312" w:eastAsia="仿宋_GB2312" w:cs="仿宋_GB2312"/>
          <w:b w:val="0"/>
          <w:bCs w:val="0"/>
          <w:sz w:val="32"/>
          <w:szCs w:val="32"/>
          <w:highlight w:val="none"/>
          <w:lang w:eastAsia="zh-CN"/>
        </w:rPr>
        <w:t>，日常开销加大。</w:t>
      </w:r>
    </w:p>
    <w:p>
      <w:pPr>
        <w:spacing w:beforeLines="0" w:afterLines="0"/>
        <w:ind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4</w:t>
      </w:r>
      <w:r>
        <w:rPr>
          <w:rFonts w:hint="eastAsia" w:ascii="仿宋_GB2312" w:hAnsi="仿宋_GB2312" w:eastAsia="仿宋_GB2312" w:cs="仿宋_GB2312"/>
          <w:b w:val="0"/>
          <w:bCs w:val="0"/>
          <w:sz w:val="32"/>
          <w:szCs w:val="32"/>
          <w:highlight w:val="none"/>
          <w:lang w:val="zh-CN"/>
        </w:rPr>
        <w:t>．</w:t>
      </w:r>
      <w:r>
        <w:rPr>
          <w:rFonts w:hint="eastAsia" w:ascii="仿宋_GB2312" w:hAnsi="仿宋_GB2312" w:eastAsia="仿宋_GB2312" w:cs="仿宋_GB2312"/>
          <w:b w:val="0"/>
          <w:bCs w:val="0"/>
          <w:sz w:val="32"/>
          <w:szCs w:val="32"/>
          <w:highlight w:val="none"/>
          <w:lang w:eastAsia="zh-CN"/>
        </w:rPr>
        <w:t>社会保障和就业支出</w:t>
      </w:r>
      <w:r>
        <w:rPr>
          <w:rFonts w:hint="eastAsia" w:ascii="仿宋_GB2312" w:hAnsi="仿宋_GB2312" w:eastAsia="仿宋_GB2312" w:cs="仿宋_GB2312"/>
          <w:b w:val="0"/>
          <w:bCs w:val="0"/>
          <w:sz w:val="32"/>
          <w:szCs w:val="32"/>
          <w:highlight w:val="none"/>
        </w:rPr>
        <w:t>（类）</w:t>
      </w:r>
      <w:r>
        <w:rPr>
          <w:rFonts w:hint="eastAsia" w:ascii="仿宋_GB2312" w:hAnsi="仿宋_GB2312" w:eastAsia="仿宋_GB2312" w:cs="仿宋_GB2312"/>
          <w:b w:val="0"/>
          <w:bCs w:val="0"/>
          <w:sz w:val="32"/>
          <w:szCs w:val="32"/>
          <w:highlight w:val="none"/>
          <w:lang w:eastAsia="zh-CN"/>
        </w:rPr>
        <w:t>人力资源和社会保障管理事务</w:t>
      </w:r>
      <w:r>
        <w:rPr>
          <w:rFonts w:hint="eastAsia" w:ascii="仿宋_GB2312" w:hAnsi="仿宋_GB2312" w:eastAsia="仿宋_GB2312" w:cs="仿宋_GB2312"/>
          <w:b w:val="0"/>
          <w:bCs w:val="0"/>
          <w:sz w:val="32"/>
          <w:szCs w:val="32"/>
          <w:highlight w:val="none"/>
        </w:rPr>
        <w:t>（款）</w:t>
      </w:r>
      <w:r>
        <w:rPr>
          <w:rFonts w:hint="eastAsia" w:ascii="仿宋_GB2312" w:hAnsi="仿宋_GB2312" w:eastAsia="仿宋_GB2312" w:cs="仿宋_GB2312"/>
          <w:b w:val="0"/>
          <w:bCs w:val="0"/>
          <w:sz w:val="32"/>
          <w:szCs w:val="32"/>
          <w:highlight w:val="none"/>
          <w:lang w:eastAsia="zh-CN"/>
        </w:rPr>
        <w:t>一般行政管理事务</w:t>
      </w:r>
      <w:r>
        <w:rPr>
          <w:rFonts w:hint="eastAsia" w:ascii="仿宋_GB2312" w:hAnsi="仿宋_GB2312" w:eastAsia="仿宋_GB2312" w:cs="仿宋_GB2312"/>
          <w:b w:val="0"/>
          <w:bCs w:val="0"/>
          <w:sz w:val="32"/>
          <w:szCs w:val="32"/>
          <w:highlight w:val="none"/>
        </w:rPr>
        <w:t>（项）</w:t>
      </w:r>
      <w:r>
        <w:rPr>
          <w:rFonts w:hint="eastAsia" w:ascii="仿宋_GB2312" w:hAnsi="仿宋_GB2312" w:eastAsia="仿宋_GB2312" w:cs="仿宋_GB2312"/>
          <w:b w:val="0"/>
          <w:bCs w:val="0"/>
          <w:sz w:val="32"/>
          <w:szCs w:val="32"/>
          <w:highlight w:val="none"/>
          <w:lang w:val="zh-CN"/>
        </w:rPr>
        <w:t>。年初预算为</w:t>
      </w:r>
      <w:r>
        <w:rPr>
          <w:rFonts w:hint="eastAsia" w:ascii="仿宋_GB2312" w:hAnsi="仿宋_GB2312" w:eastAsia="仿宋_GB2312" w:cs="仿宋_GB2312"/>
          <w:b w:val="0"/>
          <w:bCs w:val="0"/>
          <w:sz w:val="30"/>
          <w:szCs w:val="30"/>
          <w:highlight w:val="none"/>
          <w:lang w:val="en-US" w:eastAsia="zh-CN"/>
        </w:rPr>
        <w:t>183</w:t>
      </w:r>
      <w:r>
        <w:rPr>
          <w:rFonts w:hint="eastAsia" w:ascii="仿宋_GB2312" w:hAnsi="仿宋_GB2312" w:eastAsia="仿宋_GB2312" w:cs="仿宋_GB2312"/>
          <w:b w:val="0"/>
          <w:bCs w:val="0"/>
          <w:sz w:val="32"/>
          <w:szCs w:val="32"/>
          <w:highlight w:val="none"/>
          <w:lang w:val="zh-CN"/>
        </w:rPr>
        <w:t>万元，支出决算为</w:t>
      </w:r>
      <w:r>
        <w:rPr>
          <w:rFonts w:hint="eastAsia" w:ascii="仿宋_GB2312" w:hAnsi="仿宋_GB2312" w:eastAsia="仿宋_GB2312" w:cs="仿宋_GB2312"/>
          <w:b w:val="0"/>
          <w:bCs w:val="0"/>
          <w:sz w:val="32"/>
          <w:szCs w:val="32"/>
          <w:highlight w:val="none"/>
          <w:lang w:val="en-US" w:eastAsia="zh-CN"/>
        </w:rPr>
        <w:t>203.48</w:t>
      </w:r>
      <w:r>
        <w:rPr>
          <w:rFonts w:hint="eastAsia" w:ascii="仿宋_GB2312" w:hAnsi="仿宋_GB2312" w:eastAsia="仿宋_GB2312" w:cs="仿宋_GB2312"/>
          <w:b w:val="0"/>
          <w:bCs w:val="0"/>
          <w:sz w:val="32"/>
          <w:szCs w:val="32"/>
          <w:highlight w:val="none"/>
          <w:lang w:val="zh-CN"/>
        </w:rPr>
        <w:t>万元，完成年初预算的</w:t>
      </w:r>
      <w:r>
        <w:rPr>
          <w:rFonts w:hint="eastAsia" w:ascii="仿宋_GB2312" w:hAnsi="仿宋_GB2312" w:eastAsia="仿宋_GB2312" w:cs="仿宋_GB2312"/>
          <w:b w:val="0"/>
          <w:bCs w:val="0"/>
          <w:sz w:val="32"/>
          <w:szCs w:val="32"/>
          <w:highlight w:val="none"/>
          <w:lang w:val="en-US" w:eastAsia="zh-CN"/>
        </w:rPr>
        <w:t>111</w:t>
      </w:r>
      <w:r>
        <w:rPr>
          <w:rFonts w:hint="eastAsia" w:ascii="仿宋_GB2312" w:hAnsi="仿宋_GB2312" w:eastAsia="仿宋_GB2312" w:cs="仿宋_GB2312"/>
          <w:b w:val="0"/>
          <w:bCs w:val="0"/>
          <w:sz w:val="32"/>
          <w:szCs w:val="32"/>
          <w:highlight w:val="none"/>
          <w:lang w:val="zh-CN"/>
        </w:rPr>
        <w:t>%。决算数</w:t>
      </w:r>
      <w:r>
        <w:rPr>
          <w:rFonts w:hint="eastAsia" w:ascii="仿宋_GB2312" w:hAnsi="仿宋_GB2312" w:eastAsia="仿宋_GB2312" w:cs="仿宋_GB2312"/>
          <w:b w:val="0"/>
          <w:bCs w:val="0"/>
          <w:color w:val="000000" w:themeColor="text1"/>
          <w:sz w:val="32"/>
          <w:szCs w:val="32"/>
          <w:highlight w:val="none"/>
          <w:lang w:val="zh-CN"/>
          <w14:textFill>
            <w14:solidFill>
              <w14:schemeClr w14:val="tx1"/>
            </w14:solidFill>
          </w14:textFill>
        </w:rPr>
        <w:t>与年初预算数存在差异的主要原因是</w:t>
      </w:r>
      <w:r>
        <w:rPr>
          <w:rFonts w:hint="eastAsia" w:ascii="仿宋_GB2312" w:hAnsi="仿宋_GB2312" w:eastAsia="仿宋_GB2312" w:cs="仿宋_GB2312"/>
          <w:b w:val="0"/>
          <w:bCs w:val="0"/>
          <w:sz w:val="32"/>
          <w:szCs w:val="32"/>
          <w:highlight w:val="none"/>
        </w:rPr>
        <w:t>人员有变动</w:t>
      </w:r>
      <w:r>
        <w:rPr>
          <w:rFonts w:hint="eastAsia" w:ascii="仿宋_GB2312" w:hAnsi="仿宋_GB2312" w:eastAsia="仿宋_GB2312" w:cs="仿宋_GB2312"/>
          <w:b w:val="0"/>
          <w:bCs w:val="0"/>
          <w:sz w:val="32"/>
          <w:szCs w:val="32"/>
          <w:highlight w:val="none"/>
          <w:lang w:eastAsia="zh-CN"/>
        </w:rPr>
        <w:t>，日常开销加大，</w:t>
      </w:r>
      <w:r>
        <w:rPr>
          <w:rFonts w:hint="eastAsia" w:ascii="仿宋_GB2312" w:hAnsi="仿宋_GB2312" w:eastAsia="仿宋_GB2312" w:cs="仿宋_GB2312"/>
          <w:b w:val="0"/>
          <w:bCs w:val="0"/>
          <w:sz w:val="32"/>
          <w:szCs w:val="32"/>
          <w:highlight w:val="none"/>
        </w:rPr>
        <w:t>所以造成决算预算不符合。</w:t>
      </w:r>
    </w:p>
    <w:p>
      <w:pPr>
        <w:spacing w:beforeLines="0" w:afterLines="0"/>
        <w:ind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5</w:t>
      </w:r>
      <w:r>
        <w:rPr>
          <w:rFonts w:hint="eastAsia" w:ascii="仿宋_GB2312" w:hAnsi="仿宋_GB2312" w:eastAsia="仿宋_GB2312" w:cs="仿宋_GB2312"/>
          <w:b w:val="0"/>
          <w:bCs w:val="0"/>
          <w:sz w:val="32"/>
          <w:szCs w:val="32"/>
          <w:highlight w:val="none"/>
          <w:lang w:val="zh-CN"/>
        </w:rPr>
        <w:t>．</w:t>
      </w:r>
      <w:r>
        <w:rPr>
          <w:rFonts w:hint="eastAsia" w:ascii="仿宋_GB2312" w:hAnsi="仿宋_GB2312" w:eastAsia="仿宋_GB2312" w:cs="仿宋_GB2312"/>
          <w:b w:val="0"/>
          <w:bCs w:val="0"/>
          <w:sz w:val="32"/>
          <w:szCs w:val="32"/>
          <w:highlight w:val="none"/>
          <w:lang w:eastAsia="zh-CN"/>
        </w:rPr>
        <w:t>社会保障和就业支出</w:t>
      </w:r>
      <w:r>
        <w:rPr>
          <w:rFonts w:hint="eastAsia" w:ascii="仿宋_GB2312" w:hAnsi="仿宋_GB2312" w:eastAsia="仿宋_GB2312" w:cs="仿宋_GB2312"/>
          <w:b w:val="0"/>
          <w:bCs w:val="0"/>
          <w:sz w:val="32"/>
          <w:szCs w:val="32"/>
          <w:highlight w:val="none"/>
        </w:rPr>
        <w:t>（类）</w:t>
      </w:r>
      <w:r>
        <w:rPr>
          <w:rFonts w:hint="eastAsia" w:ascii="仿宋_GB2312" w:hAnsi="仿宋_GB2312" w:eastAsia="仿宋_GB2312" w:cs="仿宋_GB2312"/>
          <w:b w:val="0"/>
          <w:bCs w:val="0"/>
          <w:sz w:val="32"/>
          <w:szCs w:val="32"/>
          <w:highlight w:val="none"/>
          <w:lang w:eastAsia="zh-CN"/>
        </w:rPr>
        <w:t>人力资源和社会保障管理事务</w:t>
      </w:r>
      <w:r>
        <w:rPr>
          <w:rFonts w:hint="eastAsia" w:ascii="仿宋_GB2312" w:hAnsi="仿宋_GB2312" w:eastAsia="仿宋_GB2312" w:cs="仿宋_GB2312"/>
          <w:b w:val="0"/>
          <w:bCs w:val="0"/>
          <w:sz w:val="32"/>
          <w:szCs w:val="32"/>
          <w:highlight w:val="none"/>
        </w:rPr>
        <w:t>（款）</w:t>
      </w:r>
      <w:r>
        <w:rPr>
          <w:rFonts w:hint="eastAsia" w:ascii="仿宋_GB2312" w:hAnsi="仿宋_GB2312" w:eastAsia="仿宋_GB2312" w:cs="仿宋_GB2312"/>
          <w:b w:val="0"/>
          <w:bCs w:val="0"/>
          <w:sz w:val="32"/>
          <w:szCs w:val="32"/>
          <w:highlight w:val="none"/>
          <w:lang w:eastAsia="zh-CN"/>
        </w:rPr>
        <w:t>信息化建设</w:t>
      </w:r>
      <w:r>
        <w:rPr>
          <w:rFonts w:hint="eastAsia" w:ascii="仿宋_GB2312" w:hAnsi="仿宋_GB2312" w:eastAsia="仿宋_GB2312" w:cs="仿宋_GB2312"/>
          <w:b w:val="0"/>
          <w:bCs w:val="0"/>
          <w:sz w:val="32"/>
          <w:szCs w:val="32"/>
          <w:highlight w:val="none"/>
        </w:rPr>
        <w:t>（项）</w:t>
      </w:r>
      <w:r>
        <w:rPr>
          <w:rFonts w:hint="eastAsia" w:ascii="仿宋_GB2312" w:hAnsi="仿宋_GB2312" w:eastAsia="仿宋_GB2312" w:cs="仿宋_GB2312"/>
          <w:b w:val="0"/>
          <w:bCs w:val="0"/>
          <w:sz w:val="32"/>
          <w:szCs w:val="32"/>
          <w:highlight w:val="none"/>
          <w:lang w:val="zh-CN"/>
        </w:rPr>
        <w:t>。年初预算为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lang w:val="zh-CN"/>
        </w:rPr>
        <w:t>万元，支出决算为</w:t>
      </w:r>
      <w:r>
        <w:rPr>
          <w:rFonts w:hint="eastAsia" w:ascii="仿宋_GB2312" w:hAnsi="仿宋_GB2312" w:eastAsia="仿宋_GB2312" w:cs="仿宋_GB2312"/>
          <w:b w:val="0"/>
          <w:bCs w:val="0"/>
          <w:sz w:val="32"/>
          <w:szCs w:val="32"/>
          <w:highlight w:val="none"/>
          <w:lang w:val="en-US" w:eastAsia="zh-CN"/>
        </w:rPr>
        <w:t>6.21</w:t>
      </w:r>
      <w:r>
        <w:rPr>
          <w:rFonts w:hint="eastAsia" w:ascii="仿宋_GB2312" w:hAnsi="仿宋_GB2312" w:eastAsia="仿宋_GB2312" w:cs="仿宋_GB2312"/>
          <w:b w:val="0"/>
          <w:bCs w:val="0"/>
          <w:sz w:val="32"/>
          <w:szCs w:val="32"/>
          <w:highlight w:val="none"/>
          <w:lang w:val="zh-CN"/>
        </w:rPr>
        <w:t>万元，完成年初预算的</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lang w:val="zh-CN"/>
        </w:rPr>
        <w:t>%。决算数</w:t>
      </w:r>
      <w:r>
        <w:rPr>
          <w:rFonts w:hint="eastAsia" w:ascii="仿宋_GB2312" w:hAnsi="仿宋_GB2312" w:eastAsia="仿宋_GB2312" w:cs="仿宋_GB2312"/>
          <w:b w:val="0"/>
          <w:bCs w:val="0"/>
          <w:color w:val="000000" w:themeColor="text1"/>
          <w:sz w:val="32"/>
          <w:szCs w:val="32"/>
          <w:highlight w:val="none"/>
          <w:lang w:val="zh-CN"/>
          <w14:textFill>
            <w14:solidFill>
              <w14:schemeClr w14:val="tx1"/>
            </w14:solidFill>
          </w14:textFill>
        </w:rPr>
        <w:t>与年初预算数存在差异的主要原因是投资</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乡镇信息平台建设</w:t>
      </w:r>
      <w:r>
        <w:rPr>
          <w:rFonts w:hint="eastAsia" w:ascii="仿宋_GB2312" w:hAnsi="仿宋_GB2312" w:eastAsia="仿宋_GB2312" w:cs="仿宋_GB2312"/>
          <w:b w:val="0"/>
          <w:bCs w:val="0"/>
          <w:sz w:val="32"/>
          <w:szCs w:val="32"/>
          <w:highlight w:val="none"/>
        </w:rPr>
        <w:t>，所以造成决算预算不符合。</w:t>
      </w:r>
    </w:p>
    <w:p>
      <w:pPr>
        <w:spacing w:beforeLines="0" w:afterLines="0"/>
        <w:ind w:firstLine="640" w:firstLineChars="200"/>
        <w:jc w:val="left"/>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en-US" w:eastAsia="zh-CN"/>
        </w:rPr>
        <w:t>6</w:t>
      </w:r>
      <w:r>
        <w:rPr>
          <w:rFonts w:hint="eastAsia" w:ascii="仿宋_GB2312" w:hAnsi="仿宋_GB2312" w:eastAsia="仿宋_GB2312" w:cs="仿宋_GB2312"/>
          <w:b w:val="0"/>
          <w:bCs w:val="0"/>
          <w:sz w:val="32"/>
          <w:szCs w:val="32"/>
          <w:highlight w:val="none"/>
          <w:lang w:val="zh-CN"/>
        </w:rPr>
        <w:t>．</w:t>
      </w:r>
      <w:r>
        <w:rPr>
          <w:rFonts w:hint="eastAsia" w:ascii="仿宋_GB2312" w:hAnsi="仿宋_GB2312" w:eastAsia="仿宋_GB2312" w:cs="仿宋_GB2312"/>
          <w:b w:val="0"/>
          <w:bCs w:val="0"/>
          <w:sz w:val="32"/>
          <w:szCs w:val="32"/>
          <w:highlight w:val="none"/>
          <w:lang w:eastAsia="zh-CN"/>
        </w:rPr>
        <w:t>社会保障和就业支出</w:t>
      </w:r>
      <w:r>
        <w:rPr>
          <w:rFonts w:hint="eastAsia" w:ascii="仿宋_GB2312" w:hAnsi="仿宋_GB2312" w:eastAsia="仿宋_GB2312" w:cs="仿宋_GB2312"/>
          <w:b w:val="0"/>
          <w:bCs w:val="0"/>
          <w:sz w:val="32"/>
          <w:szCs w:val="32"/>
          <w:highlight w:val="none"/>
        </w:rPr>
        <w:t>（类）</w:t>
      </w:r>
      <w:r>
        <w:rPr>
          <w:rFonts w:hint="eastAsia" w:ascii="仿宋_GB2312" w:hAnsi="仿宋_GB2312" w:eastAsia="仿宋_GB2312" w:cs="仿宋_GB2312"/>
          <w:b w:val="0"/>
          <w:bCs w:val="0"/>
          <w:sz w:val="32"/>
          <w:szCs w:val="32"/>
          <w:highlight w:val="none"/>
          <w:lang w:eastAsia="zh-CN"/>
        </w:rPr>
        <w:t>人力资源和社会保障管理事务</w:t>
      </w:r>
      <w:r>
        <w:rPr>
          <w:rFonts w:hint="eastAsia" w:ascii="仿宋_GB2312" w:hAnsi="仿宋_GB2312" w:eastAsia="仿宋_GB2312" w:cs="仿宋_GB2312"/>
          <w:b w:val="0"/>
          <w:bCs w:val="0"/>
          <w:sz w:val="32"/>
          <w:szCs w:val="32"/>
          <w:highlight w:val="none"/>
        </w:rPr>
        <w:t>（款）</w:t>
      </w:r>
      <w:r>
        <w:rPr>
          <w:rFonts w:hint="eastAsia" w:ascii="仿宋_GB2312" w:hAnsi="仿宋_GB2312" w:eastAsia="仿宋_GB2312" w:cs="仿宋_GB2312"/>
          <w:b w:val="0"/>
          <w:bCs w:val="0"/>
          <w:sz w:val="32"/>
          <w:szCs w:val="32"/>
          <w:highlight w:val="none"/>
          <w:lang w:eastAsia="zh-CN"/>
        </w:rPr>
        <w:t>社会保险经办机构</w:t>
      </w:r>
      <w:r>
        <w:rPr>
          <w:rFonts w:hint="eastAsia" w:ascii="仿宋_GB2312" w:hAnsi="仿宋_GB2312" w:eastAsia="仿宋_GB2312" w:cs="仿宋_GB2312"/>
          <w:b w:val="0"/>
          <w:bCs w:val="0"/>
          <w:sz w:val="32"/>
          <w:szCs w:val="32"/>
          <w:highlight w:val="none"/>
        </w:rPr>
        <w:t>（项）</w:t>
      </w:r>
      <w:r>
        <w:rPr>
          <w:rFonts w:hint="eastAsia" w:ascii="仿宋_GB2312" w:hAnsi="仿宋_GB2312" w:eastAsia="仿宋_GB2312" w:cs="仿宋_GB2312"/>
          <w:b w:val="0"/>
          <w:bCs w:val="0"/>
          <w:sz w:val="32"/>
          <w:szCs w:val="32"/>
          <w:highlight w:val="none"/>
          <w:lang w:val="zh-CN"/>
        </w:rPr>
        <w:t>。年初预算为</w:t>
      </w:r>
      <w:r>
        <w:rPr>
          <w:rFonts w:hint="eastAsia" w:ascii="仿宋_GB2312" w:hAnsi="仿宋_GB2312" w:eastAsia="仿宋_GB2312" w:cs="仿宋_GB2312"/>
          <w:b w:val="0"/>
          <w:bCs w:val="0"/>
          <w:sz w:val="32"/>
          <w:szCs w:val="32"/>
          <w:highlight w:val="none"/>
          <w:lang w:val="en-US" w:eastAsia="zh-CN"/>
        </w:rPr>
        <w:t>30</w:t>
      </w:r>
      <w:r>
        <w:rPr>
          <w:rFonts w:hint="eastAsia" w:ascii="仿宋_GB2312" w:hAnsi="仿宋_GB2312" w:eastAsia="仿宋_GB2312" w:cs="仿宋_GB2312"/>
          <w:b w:val="0"/>
          <w:bCs w:val="0"/>
          <w:sz w:val="32"/>
          <w:szCs w:val="32"/>
          <w:highlight w:val="none"/>
          <w:lang w:val="zh-CN"/>
        </w:rPr>
        <w:t>万元，支出决算为</w:t>
      </w:r>
      <w:r>
        <w:rPr>
          <w:rFonts w:hint="eastAsia" w:ascii="仿宋_GB2312" w:hAnsi="仿宋_GB2312" w:eastAsia="仿宋_GB2312" w:cs="仿宋_GB2312"/>
          <w:b w:val="0"/>
          <w:bCs w:val="0"/>
          <w:sz w:val="32"/>
          <w:szCs w:val="32"/>
          <w:highlight w:val="none"/>
          <w:lang w:val="en-US" w:eastAsia="zh-CN"/>
        </w:rPr>
        <w:t>59.65</w:t>
      </w:r>
      <w:r>
        <w:rPr>
          <w:rFonts w:hint="eastAsia" w:ascii="仿宋_GB2312" w:hAnsi="仿宋_GB2312" w:eastAsia="仿宋_GB2312" w:cs="仿宋_GB2312"/>
          <w:b w:val="0"/>
          <w:bCs w:val="0"/>
          <w:sz w:val="32"/>
          <w:szCs w:val="32"/>
          <w:highlight w:val="none"/>
          <w:lang w:val="zh-CN"/>
        </w:rPr>
        <w:t>万元，完成年初预算的</w:t>
      </w:r>
      <w:r>
        <w:rPr>
          <w:rFonts w:hint="eastAsia" w:ascii="仿宋_GB2312" w:hAnsi="仿宋_GB2312" w:eastAsia="仿宋_GB2312" w:cs="仿宋_GB2312"/>
          <w:b w:val="0"/>
          <w:bCs w:val="0"/>
          <w:sz w:val="32"/>
          <w:szCs w:val="32"/>
          <w:highlight w:val="none"/>
          <w:lang w:val="en-US" w:eastAsia="zh-CN"/>
        </w:rPr>
        <w:t>198</w:t>
      </w:r>
      <w:r>
        <w:rPr>
          <w:rFonts w:hint="eastAsia" w:ascii="仿宋_GB2312" w:hAnsi="仿宋_GB2312" w:eastAsia="仿宋_GB2312" w:cs="仿宋_GB2312"/>
          <w:b w:val="0"/>
          <w:bCs w:val="0"/>
          <w:sz w:val="32"/>
          <w:szCs w:val="32"/>
          <w:highlight w:val="none"/>
          <w:lang w:val="zh-CN"/>
        </w:rPr>
        <w:t>%。决算数</w:t>
      </w:r>
      <w:r>
        <w:rPr>
          <w:rFonts w:hint="eastAsia" w:ascii="仿宋_GB2312" w:hAnsi="仿宋_GB2312" w:eastAsia="仿宋_GB2312" w:cs="仿宋_GB2312"/>
          <w:b w:val="0"/>
          <w:bCs w:val="0"/>
          <w:color w:val="000000" w:themeColor="text1"/>
          <w:sz w:val="32"/>
          <w:szCs w:val="32"/>
          <w:highlight w:val="none"/>
          <w:lang w:val="zh-CN"/>
          <w14:textFill>
            <w14:solidFill>
              <w14:schemeClr w14:val="tx1"/>
            </w14:solidFill>
          </w14:textFill>
        </w:rPr>
        <w:t>与年初预算数存在差异的主要原因是</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人员变动，工资社保增加</w:t>
      </w:r>
      <w:r>
        <w:rPr>
          <w:rFonts w:hint="eastAsia" w:ascii="仿宋_GB2312" w:hAnsi="仿宋_GB2312" w:eastAsia="仿宋_GB2312" w:cs="仿宋_GB2312"/>
          <w:b w:val="0"/>
          <w:bCs w:val="0"/>
          <w:sz w:val="32"/>
          <w:szCs w:val="32"/>
          <w:highlight w:val="none"/>
        </w:rPr>
        <w:t>，所以造成决算预算不符合。</w:t>
      </w:r>
    </w:p>
    <w:p>
      <w:pPr>
        <w:spacing w:beforeLines="0" w:afterLines="0"/>
        <w:ind w:firstLine="640" w:firstLineChars="200"/>
        <w:jc w:val="left"/>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en-US" w:eastAsia="zh-CN"/>
        </w:rPr>
        <w:t>7</w:t>
      </w:r>
      <w:r>
        <w:rPr>
          <w:rFonts w:hint="eastAsia" w:ascii="仿宋_GB2312" w:hAnsi="仿宋_GB2312" w:eastAsia="仿宋_GB2312" w:cs="仿宋_GB2312"/>
          <w:b w:val="0"/>
          <w:bCs w:val="0"/>
          <w:sz w:val="32"/>
          <w:szCs w:val="32"/>
          <w:highlight w:val="none"/>
          <w:lang w:val="zh-CN"/>
        </w:rPr>
        <w:t>．</w:t>
      </w:r>
      <w:r>
        <w:rPr>
          <w:rFonts w:hint="eastAsia" w:ascii="仿宋_GB2312" w:hAnsi="仿宋_GB2312" w:eastAsia="仿宋_GB2312" w:cs="仿宋_GB2312"/>
          <w:b w:val="0"/>
          <w:bCs w:val="0"/>
          <w:sz w:val="32"/>
          <w:szCs w:val="32"/>
          <w:highlight w:val="none"/>
          <w:lang w:eastAsia="zh-CN"/>
        </w:rPr>
        <w:t>社会保障和就业支出</w:t>
      </w:r>
      <w:r>
        <w:rPr>
          <w:rFonts w:hint="eastAsia" w:ascii="仿宋_GB2312" w:hAnsi="仿宋_GB2312" w:eastAsia="仿宋_GB2312" w:cs="仿宋_GB2312"/>
          <w:b w:val="0"/>
          <w:bCs w:val="0"/>
          <w:sz w:val="32"/>
          <w:szCs w:val="32"/>
          <w:highlight w:val="none"/>
        </w:rPr>
        <w:t>（类）</w:t>
      </w:r>
      <w:r>
        <w:rPr>
          <w:rFonts w:hint="eastAsia" w:ascii="仿宋_GB2312" w:hAnsi="仿宋_GB2312" w:eastAsia="仿宋_GB2312" w:cs="仿宋_GB2312"/>
          <w:b w:val="0"/>
          <w:bCs w:val="0"/>
          <w:sz w:val="32"/>
          <w:szCs w:val="32"/>
          <w:highlight w:val="none"/>
          <w:lang w:eastAsia="zh-CN"/>
        </w:rPr>
        <w:t>人力资源和社会保障管理事务</w:t>
      </w:r>
      <w:r>
        <w:rPr>
          <w:rFonts w:hint="eastAsia" w:ascii="仿宋_GB2312" w:hAnsi="仿宋_GB2312" w:eastAsia="仿宋_GB2312" w:cs="仿宋_GB2312"/>
          <w:b w:val="0"/>
          <w:bCs w:val="0"/>
          <w:sz w:val="32"/>
          <w:szCs w:val="32"/>
          <w:highlight w:val="none"/>
        </w:rPr>
        <w:t>（款）</w:t>
      </w:r>
      <w:r>
        <w:rPr>
          <w:rFonts w:hint="eastAsia" w:ascii="仿宋_GB2312" w:hAnsi="仿宋_GB2312" w:eastAsia="仿宋_GB2312" w:cs="仿宋_GB2312"/>
          <w:b w:val="0"/>
          <w:bCs w:val="0"/>
          <w:sz w:val="32"/>
          <w:szCs w:val="32"/>
          <w:highlight w:val="none"/>
          <w:lang w:eastAsia="zh-CN"/>
        </w:rPr>
        <w:t>公共就业服务和职业技能鉴定机构</w:t>
      </w:r>
      <w:r>
        <w:rPr>
          <w:rFonts w:hint="eastAsia" w:ascii="仿宋_GB2312" w:hAnsi="仿宋_GB2312" w:eastAsia="仿宋_GB2312" w:cs="仿宋_GB2312"/>
          <w:b w:val="0"/>
          <w:bCs w:val="0"/>
          <w:sz w:val="32"/>
          <w:szCs w:val="32"/>
          <w:highlight w:val="none"/>
        </w:rPr>
        <w:t>（项）</w:t>
      </w:r>
      <w:r>
        <w:rPr>
          <w:rFonts w:hint="eastAsia" w:ascii="仿宋_GB2312" w:hAnsi="仿宋_GB2312" w:eastAsia="仿宋_GB2312" w:cs="仿宋_GB2312"/>
          <w:b w:val="0"/>
          <w:bCs w:val="0"/>
          <w:sz w:val="32"/>
          <w:szCs w:val="32"/>
          <w:highlight w:val="none"/>
          <w:lang w:val="zh-CN"/>
        </w:rPr>
        <w:t>。年初预算为</w:t>
      </w:r>
      <w:r>
        <w:rPr>
          <w:rFonts w:hint="eastAsia" w:ascii="仿宋_GB2312" w:hAnsi="仿宋_GB2312" w:eastAsia="仿宋_GB2312" w:cs="仿宋_GB2312"/>
          <w:b w:val="0"/>
          <w:bCs w:val="0"/>
          <w:sz w:val="32"/>
          <w:szCs w:val="32"/>
          <w:highlight w:val="none"/>
          <w:lang w:val="en-US" w:eastAsia="zh-CN"/>
        </w:rPr>
        <w:t>20</w:t>
      </w:r>
      <w:r>
        <w:rPr>
          <w:rFonts w:hint="eastAsia" w:ascii="仿宋_GB2312" w:hAnsi="仿宋_GB2312" w:eastAsia="仿宋_GB2312" w:cs="仿宋_GB2312"/>
          <w:b w:val="0"/>
          <w:bCs w:val="0"/>
          <w:sz w:val="32"/>
          <w:szCs w:val="32"/>
          <w:highlight w:val="none"/>
          <w:lang w:val="zh-CN"/>
        </w:rPr>
        <w:t>万元，支出决算为</w:t>
      </w:r>
      <w:r>
        <w:rPr>
          <w:rFonts w:hint="eastAsia" w:ascii="仿宋_GB2312" w:hAnsi="仿宋_GB2312" w:eastAsia="仿宋_GB2312" w:cs="仿宋_GB2312"/>
          <w:b w:val="0"/>
          <w:bCs w:val="0"/>
          <w:sz w:val="32"/>
          <w:szCs w:val="32"/>
          <w:highlight w:val="none"/>
          <w:lang w:val="en-US" w:eastAsia="zh-CN"/>
        </w:rPr>
        <w:t>40</w:t>
      </w:r>
      <w:r>
        <w:rPr>
          <w:rFonts w:hint="eastAsia" w:ascii="仿宋_GB2312" w:hAnsi="仿宋_GB2312" w:eastAsia="仿宋_GB2312" w:cs="仿宋_GB2312"/>
          <w:b w:val="0"/>
          <w:bCs w:val="0"/>
          <w:sz w:val="32"/>
          <w:szCs w:val="32"/>
          <w:highlight w:val="none"/>
          <w:lang w:val="zh-CN"/>
        </w:rPr>
        <w:t>万元，完成年初预算的</w:t>
      </w:r>
      <w:r>
        <w:rPr>
          <w:rFonts w:hint="eastAsia" w:ascii="仿宋_GB2312" w:hAnsi="仿宋_GB2312" w:eastAsia="仿宋_GB2312" w:cs="仿宋_GB2312"/>
          <w:b w:val="0"/>
          <w:bCs w:val="0"/>
          <w:sz w:val="32"/>
          <w:szCs w:val="32"/>
          <w:highlight w:val="none"/>
          <w:lang w:val="en-US" w:eastAsia="zh-CN"/>
        </w:rPr>
        <w:t>200</w:t>
      </w:r>
      <w:r>
        <w:rPr>
          <w:rFonts w:hint="eastAsia" w:ascii="仿宋_GB2312" w:hAnsi="仿宋_GB2312" w:eastAsia="仿宋_GB2312" w:cs="仿宋_GB2312"/>
          <w:b w:val="0"/>
          <w:bCs w:val="0"/>
          <w:sz w:val="32"/>
          <w:szCs w:val="32"/>
          <w:highlight w:val="none"/>
          <w:lang w:val="zh-CN"/>
        </w:rPr>
        <w:t>%。决算数</w:t>
      </w:r>
      <w:r>
        <w:rPr>
          <w:rFonts w:hint="eastAsia" w:ascii="仿宋_GB2312" w:hAnsi="仿宋_GB2312" w:eastAsia="仿宋_GB2312" w:cs="仿宋_GB2312"/>
          <w:b w:val="0"/>
          <w:bCs w:val="0"/>
          <w:color w:val="000000" w:themeColor="text1"/>
          <w:sz w:val="32"/>
          <w:szCs w:val="32"/>
          <w:highlight w:val="none"/>
          <w:lang w:val="zh-CN"/>
          <w14:textFill>
            <w14:solidFill>
              <w14:schemeClr w14:val="tx1"/>
            </w14:solidFill>
          </w14:textFill>
        </w:rPr>
        <w:t>与年初预算数存在差异的主要原因是</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有招录批次增加，造成开支加大</w:t>
      </w:r>
      <w:r>
        <w:rPr>
          <w:rFonts w:hint="eastAsia" w:ascii="仿宋_GB2312" w:hAnsi="仿宋_GB2312" w:eastAsia="仿宋_GB2312" w:cs="仿宋_GB2312"/>
          <w:b w:val="0"/>
          <w:bCs w:val="0"/>
          <w:sz w:val="32"/>
          <w:szCs w:val="32"/>
          <w:highlight w:val="none"/>
        </w:rPr>
        <w:t>，所以造成决算预算不符合。</w:t>
      </w:r>
    </w:p>
    <w:p>
      <w:pPr>
        <w:spacing w:beforeLines="0" w:afterLines="0"/>
        <w:ind w:firstLine="640" w:firstLineChars="200"/>
        <w:jc w:val="left"/>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en-US" w:eastAsia="zh-CN"/>
        </w:rPr>
        <w:t>8</w:t>
      </w:r>
      <w:r>
        <w:rPr>
          <w:rFonts w:hint="eastAsia" w:ascii="仿宋_GB2312" w:hAnsi="仿宋_GB2312" w:eastAsia="仿宋_GB2312" w:cs="仿宋_GB2312"/>
          <w:b w:val="0"/>
          <w:bCs w:val="0"/>
          <w:sz w:val="32"/>
          <w:szCs w:val="32"/>
          <w:highlight w:val="none"/>
          <w:lang w:val="zh-CN"/>
        </w:rPr>
        <w:t>．</w:t>
      </w:r>
      <w:r>
        <w:rPr>
          <w:rFonts w:hint="eastAsia" w:ascii="仿宋_GB2312" w:hAnsi="仿宋_GB2312" w:eastAsia="仿宋_GB2312" w:cs="仿宋_GB2312"/>
          <w:b w:val="0"/>
          <w:bCs w:val="0"/>
          <w:sz w:val="32"/>
          <w:szCs w:val="32"/>
          <w:highlight w:val="none"/>
          <w:lang w:eastAsia="zh-CN"/>
        </w:rPr>
        <w:t>社会保障和就业支出</w:t>
      </w:r>
      <w:r>
        <w:rPr>
          <w:rFonts w:hint="eastAsia" w:ascii="仿宋_GB2312" w:hAnsi="仿宋_GB2312" w:eastAsia="仿宋_GB2312" w:cs="仿宋_GB2312"/>
          <w:b w:val="0"/>
          <w:bCs w:val="0"/>
          <w:sz w:val="32"/>
          <w:szCs w:val="32"/>
          <w:highlight w:val="none"/>
        </w:rPr>
        <w:t>（类）</w:t>
      </w:r>
      <w:r>
        <w:rPr>
          <w:rFonts w:hint="eastAsia" w:ascii="仿宋_GB2312" w:hAnsi="仿宋_GB2312" w:eastAsia="仿宋_GB2312" w:cs="仿宋_GB2312"/>
          <w:b w:val="0"/>
          <w:bCs w:val="0"/>
          <w:sz w:val="32"/>
          <w:szCs w:val="32"/>
          <w:highlight w:val="none"/>
          <w:lang w:eastAsia="zh-CN"/>
        </w:rPr>
        <w:t>人力资源和社会保障管理事务</w:t>
      </w:r>
      <w:r>
        <w:rPr>
          <w:rFonts w:hint="eastAsia" w:ascii="仿宋_GB2312" w:hAnsi="仿宋_GB2312" w:eastAsia="仿宋_GB2312" w:cs="仿宋_GB2312"/>
          <w:b w:val="0"/>
          <w:bCs w:val="0"/>
          <w:sz w:val="32"/>
          <w:szCs w:val="32"/>
          <w:highlight w:val="none"/>
        </w:rPr>
        <w:t>（款）</w:t>
      </w:r>
      <w:r>
        <w:rPr>
          <w:rFonts w:hint="eastAsia" w:ascii="仿宋_GB2312" w:hAnsi="仿宋_GB2312" w:eastAsia="仿宋_GB2312" w:cs="仿宋_GB2312"/>
          <w:b w:val="0"/>
          <w:bCs w:val="0"/>
          <w:sz w:val="32"/>
          <w:szCs w:val="32"/>
          <w:highlight w:val="none"/>
          <w:lang w:eastAsia="zh-CN"/>
        </w:rPr>
        <w:t>其他人力资源和社会保障事务支出</w:t>
      </w:r>
      <w:r>
        <w:rPr>
          <w:rFonts w:hint="eastAsia" w:ascii="仿宋_GB2312" w:hAnsi="仿宋_GB2312" w:eastAsia="仿宋_GB2312" w:cs="仿宋_GB2312"/>
          <w:b w:val="0"/>
          <w:bCs w:val="0"/>
          <w:sz w:val="32"/>
          <w:szCs w:val="32"/>
          <w:highlight w:val="none"/>
        </w:rPr>
        <w:t>（项）</w:t>
      </w:r>
      <w:r>
        <w:rPr>
          <w:rFonts w:hint="eastAsia" w:ascii="仿宋_GB2312" w:hAnsi="仿宋_GB2312" w:eastAsia="仿宋_GB2312" w:cs="仿宋_GB2312"/>
          <w:b w:val="0"/>
          <w:bCs w:val="0"/>
          <w:sz w:val="32"/>
          <w:szCs w:val="32"/>
          <w:highlight w:val="none"/>
          <w:lang w:val="zh-CN"/>
        </w:rPr>
        <w:t>。年初预算为</w:t>
      </w:r>
      <w:r>
        <w:rPr>
          <w:rFonts w:hint="eastAsia" w:ascii="仿宋_GB2312" w:hAnsi="仿宋_GB2312" w:eastAsia="仿宋_GB2312" w:cs="仿宋_GB2312"/>
          <w:b w:val="0"/>
          <w:bCs w:val="0"/>
          <w:sz w:val="32"/>
          <w:szCs w:val="32"/>
          <w:highlight w:val="none"/>
          <w:lang w:val="en-US" w:eastAsia="zh-CN"/>
        </w:rPr>
        <w:t>150</w:t>
      </w:r>
      <w:r>
        <w:rPr>
          <w:rFonts w:hint="eastAsia" w:ascii="仿宋_GB2312" w:hAnsi="仿宋_GB2312" w:eastAsia="仿宋_GB2312" w:cs="仿宋_GB2312"/>
          <w:b w:val="0"/>
          <w:bCs w:val="0"/>
          <w:sz w:val="32"/>
          <w:szCs w:val="32"/>
          <w:highlight w:val="none"/>
          <w:lang w:val="zh-CN"/>
        </w:rPr>
        <w:t>万元，支出决算为</w:t>
      </w:r>
      <w:r>
        <w:rPr>
          <w:rFonts w:hint="eastAsia" w:ascii="仿宋_GB2312" w:hAnsi="仿宋_GB2312" w:eastAsia="仿宋_GB2312" w:cs="仿宋_GB2312"/>
          <w:b w:val="0"/>
          <w:bCs w:val="0"/>
          <w:sz w:val="32"/>
          <w:szCs w:val="32"/>
          <w:highlight w:val="none"/>
          <w:lang w:val="en-US" w:eastAsia="zh-CN"/>
        </w:rPr>
        <w:t>180.13</w:t>
      </w:r>
      <w:r>
        <w:rPr>
          <w:rFonts w:hint="eastAsia" w:ascii="仿宋_GB2312" w:hAnsi="仿宋_GB2312" w:eastAsia="仿宋_GB2312" w:cs="仿宋_GB2312"/>
          <w:b w:val="0"/>
          <w:bCs w:val="0"/>
          <w:sz w:val="32"/>
          <w:szCs w:val="32"/>
          <w:highlight w:val="none"/>
          <w:lang w:val="zh-CN"/>
        </w:rPr>
        <w:t>万元，完成年初预算的</w:t>
      </w:r>
      <w:r>
        <w:rPr>
          <w:rFonts w:hint="eastAsia" w:ascii="仿宋_GB2312" w:hAnsi="仿宋_GB2312" w:eastAsia="仿宋_GB2312" w:cs="仿宋_GB2312"/>
          <w:b w:val="0"/>
          <w:bCs w:val="0"/>
          <w:sz w:val="32"/>
          <w:szCs w:val="32"/>
          <w:highlight w:val="none"/>
          <w:lang w:val="en-US" w:eastAsia="zh-CN"/>
        </w:rPr>
        <w:t>120</w:t>
      </w:r>
      <w:r>
        <w:rPr>
          <w:rFonts w:hint="eastAsia" w:ascii="仿宋_GB2312" w:hAnsi="仿宋_GB2312" w:eastAsia="仿宋_GB2312" w:cs="仿宋_GB2312"/>
          <w:b w:val="0"/>
          <w:bCs w:val="0"/>
          <w:sz w:val="32"/>
          <w:szCs w:val="32"/>
          <w:highlight w:val="none"/>
          <w:lang w:val="zh-CN"/>
        </w:rPr>
        <w:t>%。决算数</w:t>
      </w:r>
      <w:r>
        <w:rPr>
          <w:rFonts w:hint="eastAsia" w:ascii="仿宋_GB2312" w:hAnsi="仿宋_GB2312" w:eastAsia="仿宋_GB2312" w:cs="仿宋_GB2312"/>
          <w:b w:val="0"/>
          <w:bCs w:val="0"/>
          <w:color w:val="000000" w:themeColor="text1"/>
          <w:sz w:val="32"/>
          <w:szCs w:val="32"/>
          <w:highlight w:val="none"/>
          <w:lang w:val="zh-CN"/>
          <w14:textFill>
            <w14:solidFill>
              <w14:schemeClr w14:val="tx1"/>
            </w14:solidFill>
          </w14:textFill>
        </w:rPr>
        <w:t>与年初预算数存在差异的主要原因是</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原来的中央直达资金在年</w:t>
      </w:r>
      <w:r>
        <w:rPr>
          <w:rFonts w:hint="eastAsia" w:ascii="仿宋_GB2312" w:hAnsi="仿宋_GB2312" w:eastAsia="仿宋_GB2312" w:cs="仿宋_GB2312"/>
          <w:b w:val="0"/>
          <w:bCs w:val="0"/>
          <w:sz w:val="32"/>
          <w:szCs w:val="32"/>
          <w:highlight w:val="none"/>
        </w:rPr>
        <w:t>终以追加资金形式列入人社局，所以造成决算预算不符合。</w:t>
      </w:r>
    </w:p>
    <w:p>
      <w:pPr>
        <w:spacing w:beforeLines="0" w:afterLines="0"/>
        <w:ind w:firstLine="640" w:firstLineChars="200"/>
        <w:jc w:val="left"/>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en-US" w:eastAsia="zh-CN"/>
        </w:rPr>
        <w:t>9</w:t>
      </w:r>
      <w:r>
        <w:rPr>
          <w:rFonts w:hint="eastAsia" w:ascii="仿宋_GB2312" w:hAnsi="仿宋_GB2312" w:eastAsia="仿宋_GB2312" w:cs="仿宋_GB2312"/>
          <w:b w:val="0"/>
          <w:bCs w:val="0"/>
          <w:sz w:val="32"/>
          <w:szCs w:val="32"/>
          <w:highlight w:val="none"/>
          <w:lang w:val="zh-CN"/>
        </w:rPr>
        <w:t>．</w:t>
      </w:r>
      <w:r>
        <w:rPr>
          <w:rFonts w:hint="eastAsia" w:ascii="仿宋_GB2312" w:hAnsi="仿宋_GB2312" w:eastAsia="仿宋_GB2312" w:cs="仿宋_GB2312"/>
          <w:b w:val="0"/>
          <w:bCs w:val="0"/>
          <w:sz w:val="32"/>
          <w:szCs w:val="32"/>
          <w:highlight w:val="none"/>
          <w:lang w:eastAsia="zh-CN"/>
        </w:rPr>
        <w:t>社会保障和就业支出</w:t>
      </w:r>
      <w:r>
        <w:rPr>
          <w:rFonts w:hint="eastAsia" w:ascii="仿宋_GB2312" w:hAnsi="仿宋_GB2312" w:eastAsia="仿宋_GB2312" w:cs="仿宋_GB2312"/>
          <w:b w:val="0"/>
          <w:bCs w:val="0"/>
          <w:sz w:val="32"/>
          <w:szCs w:val="32"/>
          <w:highlight w:val="none"/>
        </w:rPr>
        <w:t>（类）</w:t>
      </w:r>
      <w:r>
        <w:rPr>
          <w:rFonts w:hint="eastAsia" w:ascii="仿宋_GB2312" w:hAnsi="仿宋_GB2312" w:eastAsia="仿宋_GB2312" w:cs="仿宋_GB2312"/>
          <w:b w:val="0"/>
          <w:bCs w:val="0"/>
          <w:sz w:val="32"/>
          <w:szCs w:val="32"/>
          <w:highlight w:val="none"/>
          <w:lang w:eastAsia="zh-CN"/>
        </w:rPr>
        <w:t>人力资源和社会保障管理事务</w:t>
      </w:r>
      <w:r>
        <w:rPr>
          <w:rFonts w:hint="eastAsia" w:ascii="仿宋_GB2312" w:hAnsi="仿宋_GB2312" w:eastAsia="仿宋_GB2312" w:cs="仿宋_GB2312"/>
          <w:b w:val="0"/>
          <w:bCs w:val="0"/>
          <w:sz w:val="32"/>
          <w:szCs w:val="32"/>
          <w:highlight w:val="none"/>
        </w:rPr>
        <w:t>（款）</w:t>
      </w:r>
      <w:r>
        <w:rPr>
          <w:rFonts w:hint="eastAsia" w:ascii="仿宋_GB2312" w:hAnsi="仿宋_GB2312" w:eastAsia="仿宋_GB2312" w:cs="仿宋_GB2312"/>
          <w:b w:val="0"/>
          <w:bCs w:val="0"/>
          <w:sz w:val="32"/>
          <w:szCs w:val="32"/>
          <w:highlight w:val="none"/>
          <w:lang w:eastAsia="zh-CN"/>
        </w:rPr>
        <w:t>公益性岗位补贴</w:t>
      </w:r>
      <w:r>
        <w:rPr>
          <w:rFonts w:hint="eastAsia" w:ascii="仿宋_GB2312" w:hAnsi="仿宋_GB2312" w:eastAsia="仿宋_GB2312" w:cs="仿宋_GB2312"/>
          <w:b w:val="0"/>
          <w:bCs w:val="0"/>
          <w:sz w:val="32"/>
          <w:szCs w:val="32"/>
          <w:highlight w:val="none"/>
        </w:rPr>
        <w:t>（项）</w:t>
      </w:r>
      <w:r>
        <w:rPr>
          <w:rFonts w:hint="eastAsia" w:ascii="仿宋_GB2312" w:hAnsi="仿宋_GB2312" w:eastAsia="仿宋_GB2312" w:cs="仿宋_GB2312"/>
          <w:b w:val="0"/>
          <w:bCs w:val="0"/>
          <w:sz w:val="32"/>
          <w:szCs w:val="32"/>
          <w:highlight w:val="none"/>
          <w:lang w:val="zh-CN"/>
        </w:rPr>
        <w:t>。年初预算为</w:t>
      </w:r>
      <w:r>
        <w:rPr>
          <w:rFonts w:hint="eastAsia" w:ascii="仿宋_GB2312" w:hAnsi="仿宋_GB2312" w:eastAsia="仿宋_GB2312" w:cs="仿宋_GB2312"/>
          <w:b w:val="0"/>
          <w:bCs w:val="0"/>
          <w:sz w:val="32"/>
          <w:szCs w:val="32"/>
          <w:highlight w:val="none"/>
          <w:lang w:val="en-US" w:eastAsia="zh-CN"/>
        </w:rPr>
        <w:t>30</w:t>
      </w:r>
      <w:r>
        <w:rPr>
          <w:rFonts w:hint="eastAsia" w:ascii="仿宋_GB2312" w:hAnsi="仿宋_GB2312" w:eastAsia="仿宋_GB2312" w:cs="仿宋_GB2312"/>
          <w:b w:val="0"/>
          <w:bCs w:val="0"/>
          <w:sz w:val="32"/>
          <w:szCs w:val="32"/>
          <w:highlight w:val="none"/>
          <w:lang w:val="zh-CN"/>
        </w:rPr>
        <w:t>万元，支出决算为</w:t>
      </w:r>
      <w:r>
        <w:rPr>
          <w:rFonts w:hint="eastAsia" w:ascii="仿宋_GB2312" w:hAnsi="仿宋_GB2312" w:eastAsia="仿宋_GB2312" w:cs="仿宋_GB2312"/>
          <w:b w:val="0"/>
          <w:bCs w:val="0"/>
          <w:sz w:val="32"/>
          <w:szCs w:val="32"/>
          <w:highlight w:val="none"/>
          <w:lang w:val="en-US" w:eastAsia="zh-CN"/>
        </w:rPr>
        <w:t>50</w:t>
      </w:r>
      <w:r>
        <w:rPr>
          <w:rFonts w:hint="eastAsia" w:ascii="仿宋_GB2312" w:hAnsi="仿宋_GB2312" w:eastAsia="仿宋_GB2312" w:cs="仿宋_GB2312"/>
          <w:b w:val="0"/>
          <w:bCs w:val="0"/>
          <w:sz w:val="32"/>
          <w:szCs w:val="32"/>
          <w:highlight w:val="none"/>
          <w:lang w:val="zh-CN"/>
        </w:rPr>
        <w:t>万元，完成年初预算的</w:t>
      </w:r>
      <w:r>
        <w:rPr>
          <w:rFonts w:hint="eastAsia" w:ascii="仿宋_GB2312" w:hAnsi="仿宋_GB2312" w:eastAsia="仿宋_GB2312" w:cs="仿宋_GB2312"/>
          <w:b w:val="0"/>
          <w:bCs w:val="0"/>
          <w:sz w:val="32"/>
          <w:szCs w:val="32"/>
          <w:highlight w:val="none"/>
          <w:lang w:val="en-US" w:eastAsia="zh-CN"/>
        </w:rPr>
        <w:t>166</w:t>
      </w:r>
      <w:r>
        <w:rPr>
          <w:rFonts w:hint="eastAsia" w:ascii="仿宋_GB2312" w:hAnsi="仿宋_GB2312" w:eastAsia="仿宋_GB2312" w:cs="仿宋_GB2312"/>
          <w:b w:val="0"/>
          <w:bCs w:val="0"/>
          <w:sz w:val="32"/>
          <w:szCs w:val="32"/>
          <w:highlight w:val="none"/>
          <w:lang w:val="zh-CN"/>
        </w:rPr>
        <w:t>%。决算数</w:t>
      </w:r>
      <w:r>
        <w:rPr>
          <w:rFonts w:hint="eastAsia" w:ascii="仿宋_GB2312" w:hAnsi="仿宋_GB2312" w:eastAsia="仿宋_GB2312" w:cs="仿宋_GB2312"/>
          <w:b w:val="0"/>
          <w:bCs w:val="0"/>
          <w:color w:val="000000" w:themeColor="text1"/>
          <w:sz w:val="32"/>
          <w:szCs w:val="32"/>
          <w:highlight w:val="none"/>
          <w:lang w:val="zh-CN"/>
          <w14:textFill>
            <w14:solidFill>
              <w14:schemeClr w14:val="tx1"/>
            </w14:solidFill>
          </w14:textFill>
        </w:rPr>
        <w:t>与年初预算数存在差异的主要原因是</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原来的中央直达资金在年</w:t>
      </w:r>
      <w:r>
        <w:rPr>
          <w:rFonts w:hint="eastAsia" w:ascii="仿宋_GB2312" w:hAnsi="仿宋_GB2312" w:eastAsia="仿宋_GB2312" w:cs="仿宋_GB2312"/>
          <w:b w:val="0"/>
          <w:bCs w:val="0"/>
          <w:sz w:val="32"/>
          <w:szCs w:val="32"/>
          <w:highlight w:val="none"/>
        </w:rPr>
        <w:t>终以追加资金形式列入人社局，所以造成决算预算不符合。</w:t>
      </w:r>
    </w:p>
    <w:p>
      <w:pPr>
        <w:spacing w:beforeLines="0" w:afterLines="0"/>
        <w:ind w:firstLine="640" w:firstLineChars="200"/>
        <w:jc w:val="left"/>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en-US" w:eastAsia="zh-CN"/>
        </w:rPr>
        <w:t>10</w:t>
      </w:r>
      <w:r>
        <w:rPr>
          <w:rFonts w:hint="eastAsia" w:ascii="仿宋_GB2312" w:hAnsi="仿宋_GB2312" w:eastAsia="仿宋_GB2312" w:cs="仿宋_GB2312"/>
          <w:b w:val="0"/>
          <w:bCs w:val="0"/>
          <w:sz w:val="32"/>
          <w:szCs w:val="32"/>
          <w:highlight w:val="none"/>
          <w:lang w:val="zh-CN"/>
        </w:rPr>
        <w:t>．</w:t>
      </w:r>
      <w:r>
        <w:rPr>
          <w:rFonts w:hint="eastAsia" w:ascii="仿宋_GB2312" w:hAnsi="仿宋_GB2312" w:eastAsia="仿宋_GB2312" w:cs="仿宋_GB2312"/>
          <w:b w:val="0"/>
          <w:bCs w:val="0"/>
          <w:sz w:val="32"/>
          <w:szCs w:val="32"/>
          <w:highlight w:val="none"/>
          <w:lang w:eastAsia="zh-CN"/>
        </w:rPr>
        <w:t>社会保障和就业支出</w:t>
      </w:r>
      <w:r>
        <w:rPr>
          <w:rFonts w:hint="eastAsia" w:ascii="仿宋_GB2312" w:hAnsi="仿宋_GB2312" w:eastAsia="仿宋_GB2312" w:cs="仿宋_GB2312"/>
          <w:b w:val="0"/>
          <w:bCs w:val="0"/>
          <w:sz w:val="32"/>
          <w:szCs w:val="32"/>
          <w:highlight w:val="none"/>
        </w:rPr>
        <w:t>（类）</w:t>
      </w:r>
      <w:r>
        <w:rPr>
          <w:rFonts w:hint="eastAsia" w:ascii="仿宋_GB2312" w:hAnsi="仿宋_GB2312" w:eastAsia="仿宋_GB2312" w:cs="仿宋_GB2312"/>
          <w:b w:val="0"/>
          <w:bCs w:val="0"/>
          <w:sz w:val="32"/>
          <w:szCs w:val="32"/>
          <w:highlight w:val="none"/>
          <w:lang w:eastAsia="zh-CN"/>
        </w:rPr>
        <w:t>人力资源和社会保障管理事务</w:t>
      </w:r>
      <w:r>
        <w:rPr>
          <w:rFonts w:hint="eastAsia" w:ascii="仿宋_GB2312" w:hAnsi="仿宋_GB2312" w:eastAsia="仿宋_GB2312" w:cs="仿宋_GB2312"/>
          <w:b w:val="0"/>
          <w:bCs w:val="0"/>
          <w:sz w:val="32"/>
          <w:szCs w:val="32"/>
          <w:highlight w:val="none"/>
        </w:rPr>
        <w:t>（款）</w:t>
      </w:r>
      <w:r>
        <w:rPr>
          <w:rFonts w:hint="eastAsia" w:ascii="仿宋_GB2312" w:hAnsi="仿宋_GB2312" w:eastAsia="仿宋_GB2312" w:cs="仿宋_GB2312"/>
          <w:b w:val="0"/>
          <w:bCs w:val="0"/>
          <w:sz w:val="32"/>
          <w:szCs w:val="32"/>
          <w:highlight w:val="none"/>
          <w:lang w:eastAsia="zh-CN"/>
        </w:rPr>
        <w:t>其他就业补助支出</w:t>
      </w:r>
      <w:r>
        <w:rPr>
          <w:rFonts w:hint="eastAsia" w:ascii="仿宋_GB2312" w:hAnsi="仿宋_GB2312" w:eastAsia="仿宋_GB2312" w:cs="仿宋_GB2312"/>
          <w:b w:val="0"/>
          <w:bCs w:val="0"/>
          <w:sz w:val="32"/>
          <w:szCs w:val="32"/>
          <w:highlight w:val="none"/>
        </w:rPr>
        <w:t>（项）</w:t>
      </w:r>
      <w:r>
        <w:rPr>
          <w:rFonts w:hint="eastAsia" w:ascii="仿宋_GB2312" w:hAnsi="仿宋_GB2312" w:eastAsia="仿宋_GB2312" w:cs="仿宋_GB2312"/>
          <w:b w:val="0"/>
          <w:bCs w:val="0"/>
          <w:sz w:val="32"/>
          <w:szCs w:val="32"/>
          <w:highlight w:val="none"/>
          <w:lang w:val="zh-CN"/>
        </w:rPr>
        <w:t>。年初预算为</w:t>
      </w:r>
      <w:r>
        <w:rPr>
          <w:rFonts w:hint="eastAsia" w:ascii="仿宋_GB2312" w:hAnsi="仿宋_GB2312" w:eastAsia="仿宋_GB2312" w:cs="仿宋_GB2312"/>
          <w:b w:val="0"/>
          <w:bCs w:val="0"/>
          <w:sz w:val="32"/>
          <w:szCs w:val="32"/>
          <w:highlight w:val="none"/>
          <w:lang w:val="en-US" w:eastAsia="zh-CN"/>
        </w:rPr>
        <w:t>1187</w:t>
      </w:r>
      <w:r>
        <w:rPr>
          <w:rFonts w:hint="eastAsia" w:ascii="仿宋_GB2312" w:hAnsi="仿宋_GB2312" w:eastAsia="仿宋_GB2312" w:cs="仿宋_GB2312"/>
          <w:b w:val="0"/>
          <w:bCs w:val="0"/>
          <w:sz w:val="32"/>
          <w:szCs w:val="32"/>
          <w:highlight w:val="none"/>
          <w:lang w:val="zh-CN"/>
        </w:rPr>
        <w:t>万元，支出决算为</w:t>
      </w:r>
      <w:r>
        <w:rPr>
          <w:rFonts w:hint="eastAsia" w:ascii="仿宋_GB2312" w:hAnsi="仿宋_GB2312" w:eastAsia="仿宋_GB2312" w:cs="仿宋_GB2312"/>
          <w:b w:val="0"/>
          <w:bCs w:val="0"/>
          <w:sz w:val="32"/>
          <w:szCs w:val="32"/>
          <w:highlight w:val="none"/>
          <w:lang w:val="en-US" w:eastAsia="zh-CN"/>
        </w:rPr>
        <w:t>2193.09</w:t>
      </w:r>
      <w:r>
        <w:rPr>
          <w:rFonts w:hint="eastAsia" w:ascii="仿宋_GB2312" w:hAnsi="仿宋_GB2312" w:eastAsia="仿宋_GB2312" w:cs="仿宋_GB2312"/>
          <w:b w:val="0"/>
          <w:bCs w:val="0"/>
          <w:sz w:val="32"/>
          <w:szCs w:val="32"/>
          <w:highlight w:val="none"/>
          <w:lang w:val="zh-CN"/>
        </w:rPr>
        <w:t>万元，完成年初预算的</w:t>
      </w:r>
      <w:r>
        <w:rPr>
          <w:rFonts w:hint="eastAsia" w:ascii="仿宋_GB2312" w:hAnsi="仿宋_GB2312" w:eastAsia="仿宋_GB2312" w:cs="仿宋_GB2312"/>
          <w:b w:val="0"/>
          <w:bCs w:val="0"/>
          <w:sz w:val="32"/>
          <w:szCs w:val="32"/>
          <w:highlight w:val="none"/>
          <w:lang w:val="en-US" w:eastAsia="zh-CN"/>
        </w:rPr>
        <w:t>185</w:t>
      </w:r>
      <w:r>
        <w:rPr>
          <w:rFonts w:hint="eastAsia" w:ascii="仿宋_GB2312" w:hAnsi="仿宋_GB2312" w:eastAsia="仿宋_GB2312" w:cs="仿宋_GB2312"/>
          <w:b w:val="0"/>
          <w:bCs w:val="0"/>
          <w:sz w:val="32"/>
          <w:szCs w:val="32"/>
          <w:highlight w:val="none"/>
          <w:lang w:val="zh-CN"/>
        </w:rPr>
        <w:t>%。决算数</w:t>
      </w:r>
      <w:r>
        <w:rPr>
          <w:rFonts w:hint="eastAsia" w:ascii="仿宋_GB2312" w:hAnsi="仿宋_GB2312" w:eastAsia="仿宋_GB2312" w:cs="仿宋_GB2312"/>
          <w:b w:val="0"/>
          <w:bCs w:val="0"/>
          <w:color w:val="000000" w:themeColor="text1"/>
          <w:sz w:val="32"/>
          <w:szCs w:val="32"/>
          <w:highlight w:val="none"/>
          <w:lang w:val="zh-CN"/>
          <w14:textFill>
            <w14:solidFill>
              <w14:schemeClr w14:val="tx1"/>
            </w14:solidFill>
          </w14:textFill>
        </w:rPr>
        <w:t>与年初预算数存在差异的主要原因是</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原来的中央直达资金在年</w:t>
      </w:r>
      <w:r>
        <w:rPr>
          <w:rFonts w:hint="eastAsia" w:ascii="仿宋_GB2312" w:hAnsi="仿宋_GB2312" w:eastAsia="仿宋_GB2312" w:cs="仿宋_GB2312"/>
          <w:b w:val="0"/>
          <w:bCs w:val="0"/>
          <w:sz w:val="32"/>
          <w:szCs w:val="32"/>
          <w:highlight w:val="none"/>
        </w:rPr>
        <w:t>终以追加资金形式列入人社局，所以造成决算预算不符合。</w:t>
      </w:r>
    </w:p>
    <w:p>
      <w:pPr>
        <w:spacing w:beforeLines="0" w:afterLines="0"/>
        <w:ind w:firstLine="640" w:firstLineChars="200"/>
        <w:jc w:val="left"/>
        <w:rPr>
          <w:rFonts w:hint="eastAsia" w:ascii="仿宋_GB2312" w:hAnsi="仿宋_GB2312" w:eastAsia="仿宋_GB2312" w:cs="仿宋_GB2312"/>
          <w:b w:val="0"/>
          <w:bCs w:val="0"/>
          <w:sz w:val="32"/>
          <w:szCs w:val="32"/>
          <w:highlight w:val="none"/>
          <w:lang w:val="zh-CN"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11</w:t>
      </w:r>
      <w:r>
        <w:rPr>
          <w:rFonts w:hint="eastAsia" w:ascii="仿宋_GB2312" w:hAnsi="仿宋_GB2312" w:eastAsia="仿宋_GB2312" w:cs="仿宋_GB2312"/>
          <w:b w:val="0"/>
          <w:bCs w:val="0"/>
          <w:strike w:val="0"/>
          <w:dstrike w:val="0"/>
          <w:color w:val="auto"/>
          <w:sz w:val="32"/>
          <w:szCs w:val="32"/>
          <w:highlight w:val="none"/>
        </w:rPr>
        <w:t xml:space="preserve">. </w:t>
      </w:r>
      <w:r>
        <w:rPr>
          <w:rFonts w:hint="eastAsia" w:ascii="仿宋_GB2312" w:hAnsi="仿宋_GB2312" w:eastAsia="仿宋_GB2312" w:cs="仿宋_GB2312"/>
          <w:b w:val="0"/>
          <w:bCs w:val="0"/>
          <w:strike w:val="0"/>
          <w:dstrike w:val="0"/>
          <w:color w:val="auto"/>
          <w:sz w:val="32"/>
          <w:szCs w:val="32"/>
          <w:highlight w:val="none"/>
          <w:lang w:eastAsia="zh-CN"/>
        </w:rPr>
        <w:t>农林水事业支出</w:t>
      </w:r>
      <w:r>
        <w:rPr>
          <w:rFonts w:hint="eastAsia" w:ascii="仿宋_GB2312" w:hAnsi="仿宋_GB2312" w:eastAsia="仿宋_GB2312" w:cs="仿宋_GB2312"/>
          <w:b w:val="0"/>
          <w:bCs w:val="0"/>
          <w:strike w:val="0"/>
          <w:dstrike w:val="0"/>
          <w:color w:val="auto"/>
          <w:sz w:val="32"/>
          <w:szCs w:val="32"/>
          <w:highlight w:val="none"/>
        </w:rPr>
        <w:t>（类）</w:t>
      </w:r>
      <w:r>
        <w:rPr>
          <w:rFonts w:hint="eastAsia" w:ascii="仿宋_GB2312" w:hAnsi="仿宋_GB2312" w:eastAsia="仿宋_GB2312" w:cs="仿宋_GB2312"/>
          <w:b w:val="0"/>
          <w:bCs w:val="0"/>
          <w:strike w:val="0"/>
          <w:dstrike w:val="0"/>
          <w:color w:val="auto"/>
          <w:sz w:val="32"/>
          <w:szCs w:val="32"/>
          <w:highlight w:val="none"/>
          <w:lang w:eastAsia="zh-CN"/>
        </w:rPr>
        <w:t>扶贫</w:t>
      </w:r>
      <w:r>
        <w:rPr>
          <w:rFonts w:hint="eastAsia" w:ascii="仿宋_GB2312" w:hAnsi="仿宋_GB2312" w:eastAsia="仿宋_GB2312" w:cs="仿宋_GB2312"/>
          <w:b w:val="0"/>
          <w:bCs w:val="0"/>
          <w:strike w:val="0"/>
          <w:dstrike w:val="0"/>
          <w:color w:val="auto"/>
          <w:sz w:val="32"/>
          <w:szCs w:val="32"/>
          <w:highlight w:val="none"/>
        </w:rPr>
        <w:t>（款）</w:t>
      </w:r>
      <w:r>
        <w:rPr>
          <w:rFonts w:hint="eastAsia" w:ascii="仿宋_GB2312" w:hAnsi="仿宋_GB2312" w:eastAsia="仿宋_GB2312" w:cs="仿宋_GB2312"/>
          <w:b w:val="0"/>
          <w:bCs w:val="0"/>
          <w:strike w:val="0"/>
          <w:dstrike w:val="0"/>
          <w:color w:val="auto"/>
          <w:sz w:val="32"/>
          <w:szCs w:val="32"/>
          <w:highlight w:val="none"/>
          <w:lang w:eastAsia="zh-CN"/>
        </w:rPr>
        <w:t>社会发展</w:t>
      </w:r>
      <w:r>
        <w:rPr>
          <w:rFonts w:hint="eastAsia" w:ascii="仿宋_GB2312" w:hAnsi="仿宋_GB2312" w:eastAsia="仿宋_GB2312" w:cs="仿宋_GB2312"/>
          <w:b w:val="0"/>
          <w:bCs w:val="0"/>
          <w:strike w:val="0"/>
          <w:dstrike w:val="0"/>
          <w:color w:val="auto"/>
          <w:sz w:val="32"/>
          <w:szCs w:val="32"/>
          <w:highlight w:val="none"/>
        </w:rPr>
        <w:t>（项）。</w:t>
      </w:r>
      <w:r>
        <w:rPr>
          <w:rFonts w:hint="eastAsia" w:ascii="仿宋_GB2312" w:hAnsi="仿宋_GB2312" w:eastAsia="仿宋_GB2312" w:cs="仿宋_GB2312"/>
          <w:b w:val="0"/>
          <w:bCs w:val="0"/>
          <w:sz w:val="32"/>
          <w:szCs w:val="32"/>
          <w:highlight w:val="none"/>
        </w:rPr>
        <w:t>年初预算为</w:t>
      </w:r>
      <w:r>
        <w:rPr>
          <w:rFonts w:hint="eastAsia" w:ascii="仿宋_GB2312" w:hAnsi="仿宋_GB2312" w:eastAsia="仿宋_GB2312" w:cs="仿宋_GB2312"/>
          <w:b w:val="0"/>
          <w:bCs w:val="0"/>
          <w:sz w:val="32"/>
          <w:szCs w:val="32"/>
          <w:highlight w:val="none"/>
          <w:lang w:val="en-US" w:eastAsia="zh-CN"/>
        </w:rPr>
        <w:t>398</w:t>
      </w:r>
      <w:r>
        <w:rPr>
          <w:rFonts w:hint="eastAsia" w:ascii="仿宋_GB2312" w:hAnsi="仿宋_GB2312" w:eastAsia="仿宋_GB2312" w:cs="仿宋_GB2312"/>
          <w:b w:val="0"/>
          <w:bCs w:val="0"/>
          <w:sz w:val="32"/>
          <w:szCs w:val="32"/>
          <w:highlight w:val="none"/>
        </w:rPr>
        <w:t>万元，支出决算为</w:t>
      </w:r>
      <w:r>
        <w:rPr>
          <w:rFonts w:hint="eastAsia" w:ascii="仿宋_GB2312" w:hAnsi="仿宋_GB2312" w:eastAsia="仿宋_GB2312" w:cs="仿宋_GB2312"/>
          <w:b w:val="0"/>
          <w:bCs w:val="0"/>
          <w:sz w:val="32"/>
          <w:szCs w:val="32"/>
          <w:highlight w:val="none"/>
          <w:lang w:val="en-US" w:eastAsia="zh-CN"/>
        </w:rPr>
        <w:t>477.76</w:t>
      </w:r>
      <w:r>
        <w:rPr>
          <w:rFonts w:hint="eastAsia" w:ascii="仿宋_GB2312" w:hAnsi="仿宋_GB2312" w:eastAsia="仿宋_GB2312" w:cs="仿宋_GB2312"/>
          <w:b w:val="0"/>
          <w:bCs w:val="0"/>
          <w:sz w:val="32"/>
          <w:szCs w:val="32"/>
          <w:highlight w:val="none"/>
        </w:rPr>
        <w:t>万元，完成年初预算的</w:t>
      </w:r>
      <w:r>
        <w:rPr>
          <w:rFonts w:hint="eastAsia" w:ascii="仿宋_GB2312" w:hAnsi="仿宋_GB2312" w:eastAsia="仿宋_GB2312" w:cs="仿宋_GB2312"/>
          <w:b w:val="0"/>
          <w:bCs w:val="0"/>
          <w:sz w:val="32"/>
          <w:szCs w:val="32"/>
          <w:highlight w:val="none"/>
          <w:lang w:val="en-US" w:eastAsia="zh-CN"/>
        </w:rPr>
        <w:t>120</w:t>
      </w:r>
      <w:r>
        <w:rPr>
          <w:rFonts w:hint="eastAsia" w:ascii="仿宋_GB2312" w:hAnsi="仿宋_GB2312" w:eastAsia="仿宋_GB2312" w:cs="仿宋_GB2312"/>
          <w:b w:val="0"/>
          <w:bCs w:val="0"/>
          <w:sz w:val="32"/>
          <w:szCs w:val="32"/>
          <w:highlight w:val="none"/>
        </w:rPr>
        <w:t>%。决算数与年初预算数存在差异的主要原因是:</w:t>
      </w:r>
      <w:r>
        <w:rPr>
          <w:rFonts w:hint="eastAsia" w:ascii="仿宋_GB2312" w:hAnsi="仿宋_GB2312" w:eastAsia="仿宋_GB2312" w:cs="仿宋_GB2312"/>
          <w:b w:val="0"/>
          <w:bCs w:val="0"/>
          <w:sz w:val="32"/>
          <w:szCs w:val="32"/>
          <w:highlight w:val="none"/>
          <w:lang w:eastAsia="zh-CN"/>
        </w:rPr>
        <w:t>扶贫补助人员有变动。</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spacing w:beforeLines="0" w:afterLines="0"/>
        <w:ind w:firstLine="640" w:firstLineChars="200"/>
        <w:jc w:val="left"/>
        <w:rPr>
          <w:rFonts w:hint="default"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2019年度一般公共预算财政拨款基本支出943.74万元。其中：人员经费881.57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公用经费62.17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spacing w:beforeLines="0" w:afterLines="0"/>
        <w:jc w:val="left"/>
        <w:rPr>
          <w:rFonts w:hint="default" w:ascii="Times New Roman" w:hAnsi="Times New Roman" w:eastAsia="Times New Roman"/>
          <w:kern w:val="0"/>
          <w:sz w:val="18"/>
          <w:lang w:val="zh-CN"/>
        </w:r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spacing w:beforeLines="0" w:afterLines="0"/>
        <w:jc w:val="left"/>
        <w:rPr>
          <w:rFonts w:hint="eastAsia" w:ascii="楷体_GB2312" w:hAnsi="楷体_GB2312" w:eastAsia="楷体_GB2312" w:cs="楷体_GB2312"/>
          <w:b/>
          <w:bCs/>
          <w:kern w:val="0"/>
          <w:sz w:val="18"/>
          <w:lang w:val="zh-CN"/>
        </w:rPr>
      </w:pPr>
    </w:p>
    <w:p>
      <w:pPr>
        <w:spacing w:beforeLines="0" w:afterLines="0"/>
        <w:ind w:firstLine="643" w:firstLineChars="200"/>
        <w:jc w:val="left"/>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2019年度</w:t>
      </w:r>
      <w:r>
        <w:rPr>
          <w:rFonts w:hint="default"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三公</w:t>
      </w:r>
      <w:r>
        <w:rPr>
          <w:rFonts w:hint="default"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经费财政拨款支出预算为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val="zh-CN"/>
        </w:rPr>
        <w:t>万元，支出决算为0.87万元，完成预算的</w:t>
      </w:r>
      <w:r>
        <w:rPr>
          <w:rFonts w:hint="eastAsia" w:ascii="仿宋_GB2312" w:hAnsi="仿宋_GB2312" w:eastAsia="仿宋_GB2312" w:cs="仿宋_GB2312"/>
          <w:sz w:val="32"/>
          <w:szCs w:val="32"/>
          <w:lang w:val="en-US" w:eastAsia="zh-CN"/>
        </w:rPr>
        <w:t>5</w:t>
      </w:r>
      <w:bookmarkStart w:id="0" w:name="_GoBack"/>
      <w:bookmarkEnd w:id="0"/>
      <w:r>
        <w:rPr>
          <w:rFonts w:hint="eastAsia" w:ascii="仿宋_GB2312" w:hAnsi="仿宋_GB2312" w:eastAsia="仿宋_GB2312" w:cs="仿宋_GB2312"/>
          <w:sz w:val="32"/>
          <w:szCs w:val="32"/>
          <w:lang w:val="en-US" w:eastAsia="zh-CN"/>
        </w:rPr>
        <w:t>1.18</w:t>
      </w:r>
      <w:r>
        <w:rPr>
          <w:rFonts w:hint="eastAsia" w:ascii="仿宋_GB2312" w:hAnsi="仿宋_GB2312" w:eastAsia="仿宋_GB2312" w:cs="仿宋_GB2312"/>
          <w:sz w:val="32"/>
          <w:szCs w:val="32"/>
          <w:lang w:val="zh-CN"/>
        </w:rPr>
        <w:t>%。2019年度</w:t>
      </w:r>
      <w:r>
        <w:rPr>
          <w:rFonts w:hint="default"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三公</w:t>
      </w:r>
      <w:r>
        <w:rPr>
          <w:rFonts w:hint="default"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经费支出决算数与预算数存在差异的主要原因是</w:t>
      </w:r>
      <w:r>
        <w:rPr>
          <w:rFonts w:hint="eastAsia" w:ascii="仿宋_GB2312" w:hAnsi="仿宋_GB2312" w:eastAsia="仿宋_GB2312" w:cs="仿宋_GB2312"/>
          <w:sz w:val="32"/>
          <w:lang w:val="zh-CN"/>
        </w:rPr>
        <w:t>严控公务接待，压缩开支</w:t>
      </w:r>
      <w:r>
        <w:rPr>
          <w:rFonts w:hint="eastAsia" w:ascii="仿宋_GB2312" w:hAnsi="仿宋_GB2312" w:eastAsia="仿宋_GB2312" w:cs="仿宋_GB2312"/>
          <w:color w:val="auto"/>
          <w:sz w:val="32"/>
          <w:szCs w:val="32"/>
          <w:highlight w:val="none"/>
          <w:lang w:val="en-US" w:eastAsia="zh-CN"/>
        </w:rPr>
        <w:t>。</w:t>
      </w:r>
    </w:p>
    <w:p>
      <w:pPr>
        <w:spacing w:beforeLines="0" w:afterLines="0"/>
        <w:ind w:firstLine="643" w:firstLineChars="200"/>
        <w:jc w:val="left"/>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（二）“三公”经费财政拨款支出决算具体情况说明。</w:t>
      </w:r>
    </w:p>
    <w:p>
      <w:pPr>
        <w:spacing w:beforeLines="0" w:afterLines="0"/>
        <w:ind w:firstLine="640" w:firstLineChars="200"/>
        <w:jc w:val="left"/>
        <w:rPr>
          <w:rFonts w:hint="default"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2019年度</w:t>
      </w:r>
      <w:r>
        <w:rPr>
          <w:rFonts w:hint="default"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三公</w:t>
      </w:r>
      <w:r>
        <w:rPr>
          <w:rFonts w:hint="default"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经费财政拨款支出决算中，因公出国（境）费支出决算0万元，完成预算的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%；公务用车购置及运行费支出决算0.87万元，完成预算的</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lang w:val="zh-CN"/>
        </w:rPr>
        <w:t>%，占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rPr>
        <w:t>%；公务接待费支出决算0万元，完成预算的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%。具体情况如下：</w:t>
      </w:r>
    </w:p>
    <w:p>
      <w:pPr>
        <w:numPr>
          <w:ilvl w:val="0"/>
          <w:numId w:val="3"/>
        </w:numPr>
        <w:spacing w:beforeLines="0" w:afterLines="0"/>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因公出国（境）费预算为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万元，支出决算为0万元，完成预算的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%。全年因公出国（境）团组0个，累计0人次。</w:t>
      </w:r>
    </w:p>
    <w:p>
      <w:pPr>
        <w:widowControl/>
        <w:spacing w:line="590" w:lineRule="exact"/>
        <w:ind w:firstLine="640" w:firstLineChars="200"/>
        <w:rPr>
          <w:rFonts w:hint="default" w:ascii="仿宋_GB2312" w:hAnsi="仿宋_GB2312" w:eastAsia="仿宋_GB2312" w:cs="仿宋_GB2312"/>
          <w:sz w:val="32"/>
          <w:szCs w:val="32"/>
          <w:lang w:val="zh-CN"/>
        </w:rPr>
      </w:pPr>
      <w:r>
        <w:rPr>
          <w:rFonts w:hint="eastAsia" w:ascii="仿宋_GB2312" w:hAnsi="仿宋_GB2312" w:eastAsia="仿宋_GB2312" w:cs="仿宋_GB2312"/>
          <w:sz w:val="32"/>
          <w:szCs w:val="32"/>
        </w:rPr>
        <w:t>因公出国（境）费支出决算比上年度增加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spacing w:beforeLines="0" w:afterLines="0"/>
        <w:ind w:firstLine="640" w:firstLineChars="200"/>
        <w:jc w:val="left"/>
        <w:rPr>
          <w:rFonts w:hint="default"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2．公务用车购置及运行费预算为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val="zh-CN"/>
        </w:rPr>
        <w:t>万元，支出决算为0.87万元，完成预算的</w:t>
      </w:r>
      <w:r>
        <w:rPr>
          <w:rFonts w:hint="eastAsia" w:ascii="仿宋_GB2312" w:hAnsi="仿宋_GB2312" w:eastAsia="仿宋_GB2312" w:cs="仿宋_GB2312"/>
          <w:sz w:val="32"/>
          <w:szCs w:val="32"/>
          <w:lang w:val="en-US" w:eastAsia="zh-CN"/>
        </w:rPr>
        <w:t>51.17</w:t>
      </w:r>
      <w:r>
        <w:rPr>
          <w:rFonts w:hint="eastAsia" w:ascii="仿宋_GB2312" w:hAnsi="仿宋_GB2312" w:eastAsia="仿宋_GB2312" w:cs="仿宋_GB2312"/>
          <w:sz w:val="32"/>
          <w:szCs w:val="32"/>
          <w:lang w:val="zh-CN"/>
        </w:rPr>
        <w:t>%。决算数与预算数存在差异的主要原因:</w:t>
      </w:r>
      <w:r>
        <w:rPr>
          <w:rFonts w:hint="eastAsia" w:ascii="仿宋_GB2312" w:hAnsi="仿宋_GB2312" w:eastAsia="仿宋_GB2312" w:cs="仿宋_GB2312"/>
          <w:sz w:val="32"/>
          <w:szCs w:val="32"/>
          <w:lang w:val="zh-CN" w:eastAsia="zh-CN"/>
        </w:rPr>
        <w:t>城乡社保下乡培训，信息采集有交通费支出</w:t>
      </w:r>
      <w:r>
        <w:rPr>
          <w:rFonts w:hint="eastAsia" w:ascii="仿宋_GB2312" w:hAnsi="仿宋_GB2312" w:eastAsia="仿宋_GB2312" w:cs="仿宋_GB2312"/>
          <w:sz w:val="32"/>
          <w:szCs w:val="32"/>
          <w:lang w:val="zh-CN"/>
        </w:rPr>
        <w:t>。其中：</w:t>
      </w:r>
    </w:p>
    <w:p>
      <w:pPr>
        <w:spacing w:beforeLines="0" w:afterLines="0"/>
        <w:ind w:firstLine="640" w:firstLineChars="200"/>
        <w:jc w:val="left"/>
        <w:rPr>
          <w:rFonts w:hint="default"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公务用车购置支出为0万元，购置车辆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辆，其中</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辆。</w:t>
      </w:r>
    </w:p>
    <w:p>
      <w:pPr>
        <w:spacing w:beforeLines="0" w:afterLines="0"/>
        <w:ind w:firstLine="640" w:firstLineChars="200"/>
        <w:jc w:val="left"/>
        <w:rPr>
          <w:rFonts w:hint="default"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公务用车运行支出0.87万元。主要用于乡镇各种技术培训。2019年期末，部门开支财政拨款的公务用车保有量为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辆。</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3.公务接待费预算为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万元，支出决算为0万元，完成预算的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%。决算数与预算数存在差异的主要原因是</w:t>
      </w:r>
      <w:r>
        <w:rPr>
          <w:rFonts w:hint="eastAsia" w:ascii="仿宋_GB2312" w:hAnsi="仿宋_GB2312" w:eastAsia="仿宋_GB2312" w:cs="仿宋_GB2312"/>
          <w:sz w:val="32"/>
          <w:lang w:val="zh-CN"/>
        </w:rPr>
        <w:t>严控公务接待，压缩开支</w:t>
      </w:r>
      <w:r>
        <w:rPr>
          <w:rFonts w:hint="eastAsia" w:ascii="仿宋_GB2312" w:hAnsi="仿宋_GB2312" w:eastAsia="仿宋_GB2312" w:cs="仿宋_GB2312"/>
          <w:sz w:val="32"/>
          <w:szCs w:val="32"/>
          <w:lang w:val="zh-CN"/>
        </w:rPr>
        <w:t>。其中：</w:t>
      </w:r>
    </w:p>
    <w:p>
      <w:pPr>
        <w:spacing w:beforeLines="0" w:afterLines="0"/>
        <w:ind w:firstLine="640" w:firstLineChars="200"/>
        <w:jc w:val="left"/>
        <w:rPr>
          <w:rFonts w:hint="default"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外宾接待支出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万元。2019年共接待国（境）外来访团组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个、来访外宾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人次（不包括陪同人员）。来访人员主要包括：</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等。</w:t>
      </w:r>
    </w:p>
    <w:p>
      <w:pPr>
        <w:spacing w:beforeLines="0" w:afterLines="0"/>
        <w:ind w:firstLine="640" w:firstLineChars="200"/>
        <w:jc w:val="left"/>
        <w:rPr>
          <w:rFonts w:hint="default"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其他国内公务接待支出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万元。2019年共接待国内来访团组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个、来宾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人次（不包括陪同人员）。</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八、预算绩效情况说明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
        </w:rPr>
        <w:t>2019年，我部门（单位）纳入预算绩效管理的支出总额为1014.5万元，其中人员经费支出989万元，公用经费支出25.5万元；支出项目共6个，支出金额1014.5万元。其中，进行项目绩效自评6个，自评金额1014.5万元；纳入重点绩效评价（部门评价或财政评价）0个，评价金额0万元。</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（二）项目绩效自评结果。</w:t>
      </w:r>
    </w:p>
    <w:p>
      <w:pPr>
        <w:widowControl/>
        <w:spacing w:line="590" w:lineRule="exact"/>
        <w:ind w:firstLine="640" w:firstLineChars="200"/>
        <w:outlineLvl w:val="2"/>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2019年项目进展顺利，至2019年底项目预期目标已100%完成。</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59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在各级政府的正确领导下，圆满完成各项工作。</w:t>
      </w:r>
    </w:p>
    <w:p>
      <w:pPr>
        <w:widowControl/>
        <w:spacing w:line="590" w:lineRule="exact"/>
        <w:ind w:firstLine="640" w:firstLineChars="200"/>
        <w:outlineLvl w:val="1"/>
        <w:rPr>
          <w:rFonts w:hint="default" w:ascii="Times New Roman" w:hAnsi="Times New Roman" w:eastAsia="Times New Roman"/>
          <w:kern w:val="0"/>
          <w:sz w:val="18"/>
          <w:lang w:val="zh-CN"/>
        </w:rPr>
      </w:pPr>
      <w:r>
        <w:rPr>
          <w:rFonts w:hint="eastAsia" w:ascii="黑体" w:hAnsi="黑体" w:eastAsia="黑体" w:cs="黑体"/>
          <w:sz w:val="32"/>
          <w:szCs w:val="32"/>
        </w:rPr>
        <w:t>九、政府性基金预算财政拨款支出决算情况说明</w:t>
      </w:r>
    </w:p>
    <w:p>
      <w:pPr>
        <w:widowControl/>
        <w:spacing w:line="590" w:lineRule="exact"/>
        <w:ind w:firstLine="640" w:firstLineChars="200"/>
        <w:rPr>
          <w:rFonts w:hint="default"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2019年度政府性基金预算财政拨款支出年初预算为0万元，支出决算为0万元，完成年初预算的0%。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十、机关运行经费支出情况说明</w:t>
      </w:r>
    </w:p>
    <w:p>
      <w:pPr>
        <w:widowControl/>
        <w:spacing w:line="590" w:lineRule="exact"/>
        <w:ind w:firstLine="640" w:firstLineChars="200"/>
        <w:rPr>
          <w:rFonts w:hint="default" w:ascii="Times New Roman" w:hAnsi="Times New Roman" w:eastAsia="Times New Roman"/>
          <w:kern w:val="0"/>
          <w:sz w:val="18"/>
          <w:lang w:val="zh-CN"/>
        </w:rPr>
      </w:pPr>
      <w:r>
        <w:rPr>
          <w:rFonts w:hint="eastAsia" w:ascii="仿宋_GB2312" w:hAnsi="仿宋_GB2312" w:eastAsia="仿宋_GB2312" w:cs="仿宋_GB2312"/>
          <w:sz w:val="32"/>
          <w:szCs w:val="32"/>
          <w:lang w:val="zh-CN"/>
        </w:rPr>
        <w:t>2019年度机关运行经费年初预算为</w:t>
      </w:r>
      <w:r>
        <w:rPr>
          <w:rFonts w:hint="eastAsia" w:ascii="仿宋_GB2312" w:hAnsi="仿宋_GB2312" w:eastAsia="仿宋_GB2312" w:cs="仿宋_GB2312"/>
          <w:sz w:val="32"/>
          <w:szCs w:val="32"/>
        </w:rPr>
        <w:t>44.07</w:t>
      </w:r>
      <w:r>
        <w:rPr>
          <w:rFonts w:hint="eastAsia" w:ascii="仿宋_GB2312" w:hAnsi="仿宋_GB2312" w:eastAsia="仿宋_GB2312" w:cs="仿宋_GB2312"/>
          <w:sz w:val="32"/>
          <w:szCs w:val="32"/>
          <w:lang w:val="zh-CN"/>
        </w:rPr>
        <w:t>万元，支出决算为62.17万元，完成年初预算的</w:t>
      </w:r>
      <w:r>
        <w:rPr>
          <w:rFonts w:hint="eastAsia" w:ascii="仿宋_GB2312" w:hAnsi="仿宋_GB2312" w:eastAsia="仿宋_GB2312" w:cs="仿宋_GB2312"/>
          <w:sz w:val="32"/>
          <w:szCs w:val="32"/>
          <w:lang w:val="en-US" w:eastAsia="zh-CN"/>
        </w:rPr>
        <w:t>141.07</w:t>
      </w:r>
      <w:r>
        <w:rPr>
          <w:rFonts w:hint="eastAsia" w:ascii="仿宋_GB2312" w:hAnsi="仿宋_GB2312" w:eastAsia="仿宋_GB2312" w:cs="仿宋_GB2312"/>
          <w:sz w:val="32"/>
          <w:szCs w:val="32"/>
          <w:lang w:val="zh-CN"/>
        </w:rPr>
        <w:t>%。决算数与年初预算数存在差异的主要原因是</w:t>
      </w:r>
      <w:r>
        <w:rPr>
          <w:rFonts w:hint="eastAsia" w:ascii="仿宋_GB2312" w:hAnsi="仿宋_GB2312" w:eastAsia="仿宋_GB2312" w:cs="仿宋_GB2312"/>
          <w:sz w:val="32"/>
          <w:szCs w:val="32"/>
        </w:rPr>
        <w:t>人员经费支出和项目支出</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zh-CN"/>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十一、政府采购支出情况说明</w:t>
      </w:r>
    </w:p>
    <w:p>
      <w:pPr>
        <w:widowControl/>
        <w:spacing w:line="590" w:lineRule="exact"/>
        <w:ind w:firstLine="640" w:firstLineChars="200"/>
        <w:rPr>
          <w:rFonts w:hint="default" w:ascii="Times New Roman" w:hAnsi="Times New Roman" w:eastAsia="Times New Roman"/>
          <w:kern w:val="0"/>
          <w:sz w:val="18"/>
          <w:lang w:val="zh-CN"/>
        </w:rPr>
      </w:pPr>
      <w:r>
        <w:rPr>
          <w:rFonts w:hint="eastAsia" w:ascii="仿宋_GB2312" w:hAnsi="仿宋_GB2312" w:eastAsia="仿宋_GB2312" w:cs="仿宋_GB2312"/>
          <w:sz w:val="32"/>
          <w:szCs w:val="32"/>
          <w:lang w:val="zh-CN"/>
        </w:rPr>
        <w:t>2019年度政府采购支出总额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十二、国有资产占用情况说明</w:t>
      </w:r>
    </w:p>
    <w:p>
      <w:pPr>
        <w:widowControl/>
        <w:spacing w:line="590" w:lineRule="exact"/>
        <w:ind w:firstLine="640" w:firstLineChars="200"/>
        <w:rPr>
          <w:rFonts w:hint="default"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2019年期末，我部门共有车辆1辆，其中：省级领导干部用车0辆、主要领导干部用车0辆、机要通信用车0辆、应急保障车0辆、执法执勤用车0辆、特种专业技术用车0辆、离退休干部用车0辆、其他用车1辆；单位价值50万元以上通用设备0台（套），单位价值100万元以上专用设备0台（套）。</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- 21 -</w:t>
                          </w:r>
                          <w:r>
                            <w:rPr>
                              <w:rFonts w:hint="eastAsia"/>
                              <w:sz w:val="18"/>
                            </w:rPr>
                            <w:fldChar w:fldCharType="end"/>
                          </w:r>
                        </w:p>
                      </w:txbxContent>
                    </wps:txbx>
                    <wps:bodyPr wrap="none" lIns="0" tIns="0" rIns="0" bIns="0" upright="0">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wF90idMBAAClAwAADgAAAAAAAAABACAAAAAeAQAA&#10;ZHJzL2Uyb0RvYy54bWxQSwUGAAAAAAYABgBZAQAAY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- 21 -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&#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OPeVx/UAQAApQMAAA4AAAAAAAAAAQAgAAAAHgEA&#10;AGRycy9lMm9Eb2MueG1sUEsFBgAAAAAGAAYAWQEAAGQ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- 22 -</w:t>
                          </w:r>
                          <w:r>
                            <w:rPr>
                              <w:rFonts w:hint="eastAsia"/>
                              <w:sz w:val="18"/>
                            </w:rPr>
                            <w:fldChar w:fldCharType="end"/>
                          </w:r>
                        </w:p>
                      </w:txbxContent>
                    </wps:txbx>
                    <wps:bodyPr wrap="none" lIns="0" tIns="0" rIns="0" bIns="0" upright="0">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BuuGmrUAQAApQMAAA4AAAAAAAAAAQAgAAAAHgEA&#10;AGRycy9lMm9Eb2MueG1sUEsFBgAAAAAGAAYAWQEAAGQ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- 22 -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4E6F45"/>
    <w:multiLevelType w:val="singleLevel"/>
    <w:tmpl w:val="934E6F45"/>
    <w:lvl w:ilvl="0" w:tentative="0">
      <w:start w:val="1"/>
      <w:numFmt w:val="decimal"/>
      <w:suff w:val="nothing"/>
      <w:lvlText w:val="%1．"/>
      <w:lvlJc w:val="left"/>
    </w:lvl>
  </w:abstractNum>
  <w:abstractNum w:abstractNumId="1">
    <w:nsid w:val="219CE5B1"/>
    <w:multiLevelType w:val="singleLevel"/>
    <w:tmpl w:val="219CE5B1"/>
    <w:lvl w:ilvl="0" w:tentative="0">
      <w:start w:val="1"/>
      <w:numFmt w:val="decimal"/>
      <w:suff w:val="nothing"/>
      <w:lvlText w:val="%1．"/>
      <w:lvlJc w:val="left"/>
    </w:lvl>
  </w:abstractNum>
  <w:abstractNum w:abstractNumId="2">
    <w:nsid w:val="5971BE17"/>
    <w:multiLevelType w:val="singleLevel"/>
    <w:tmpl w:val="5971BE17"/>
    <w:lvl w:ilvl="0" w:tentative="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B63C6"/>
    <w:rsid w:val="042826F8"/>
    <w:rsid w:val="05240113"/>
    <w:rsid w:val="063505C0"/>
    <w:rsid w:val="073605CF"/>
    <w:rsid w:val="0AA4597A"/>
    <w:rsid w:val="0C3166A8"/>
    <w:rsid w:val="0C9200C9"/>
    <w:rsid w:val="0CFA4E74"/>
    <w:rsid w:val="0ED1666A"/>
    <w:rsid w:val="0F070B92"/>
    <w:rsid w:val="10464C73"/>
    <w:rsid w:val="1099354D"/>
    <w:rsid w:val="14E4118C"/>
    <w:rsid w:val="218732E7"/>
    <w:rsid w:val="21DC286A"/>
    <w:rsid w:val="240E06F2"/>
    <w:rsid w:val="24B779C4"/>
    <w:rsid w:val="25DC4726"/>
    <w:rsid w:val="26EB2982"/>
    <w:rsid w:val="284D1303"/>
    <w:rsid w:val="29921AAD"/>
    <w:rsid w:val="2B9C6C78"/>
    <w:rsid w:val="2D5347F6"/>
    <w:rsid w:val="2E6066E7"/>
    <w:rsid w:val="366A06F3"/>
    <w:rsid w:val="3A215D7B"/>
    <w:rsid w:val="3E4C25CA"/>
    <w:rsid w:val="4701142B"/>
    <w:rsid w:val="497A2108"/>
    <w:rsid w:val="4B6D68F7"/>
    <w:rsid w:val="4D791E2B"/>
    <w:rsid w:val="4EFC09E4"/>
    <w:rsid w:val="4F872F96"/>
    <w:rsid w:val="50384A41"/>
    <w:rsid w:val="51E2296B"/>
    <w:rsid w:val="54FA3D4B"/>
    <w:rsid w:val="587F2E51"/>
    <w:rsid w:val="5D762E37"/>
    <w:rsid w:val="5F9B5CF0"/>
    <w:rsid w:val="60431DFC"/>
    <w:rsid w:val="60ED5829"/>
    <w:rsid w:val="616E002A"/>
    <w:rsid w:val="62F0244A"/>
    <w:rsid w:val="67537725"/>
    <w:rsid w:val="6A3C7D3D"/>
    <w:rsid w:val="6B46026B"/>
    <w:rsid w:val="6BDF3C7F"/>
    <w:rsid w:val="6F4B3E5C"/>
    <w:rsid w:val="703B72BB"/>
    <w:rsid w:val="706C2DB3"/>
    <w:rsid w:val="74EE17D7"/>
    <w:rsid w:val="75790F72"/>
    <w:rsid w:val="765564BF"/>
    <w:rsid w:val="77983F25"/>
    <w:rsid w:val="7B5A1E72"/>
    <w:rsid w:val="7D4A65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annotation reference"/>
    <w:basedOn w:val="5"/>
    <w:qFormat/>
    <w:uiPriority w:val="0"/>
    <w:rPr>
      <w:sz w:val="21"/>
      <w:szCs w:val="21"/>
    </w:rPr>
  </w:style>
  <w:style w:type="character" w:customStyle="1" w:styleId="7">
    <w:name w:val="font11"/>
    <w:basedOn w:val="5"/>
    <w:qFormat/>
    <w:uiPriority w:val="0"/>
    <w:rPr>
      <w:rFonts w:hint="eastAsia" w:ascii="宋体" w:hAnsi="宋体" w:eastAsia="宋体" w:cs="宋体"/>
      <w:color w:val="000000"/>
      <w:sz w:val="20"/>
      <w:szCs w:val="20"/>
      <w:u w:val="none"/>
    </w:rPr>
  </w:style>
  <w:style w:type="character" w:customStyle="1" w:styleId="8">
    <w:name w:val="font01"/>
    <w:basedOn w:val="5"/>
    <w:qFormat/>
    <w:uiPriority w:val="0"/>
    <w:rPr>
      <w:rFonts w:hint="eastAsia" w:ascii="宋体" w:hAnsi="宋体" w:eastAsia="宋体" w:cs="宋体"/>
      <w:color w:val="000000"/>
      <w:sz w:val="22"/>
      <w:szCs w:val="22"/>
      <w:u w:val="none"/>
    </w:rPr>
  </w:style>
  <w:style w:type="character" w:customStyle="1" w:styleId="9">
    <w:name w:val="font51"/>
    <w:basedOn w:val="5"/>
    <w:qFormat/>
    <w:uiPriority w:val="0"/>
    <w:rPr>
      <w:rFonts w:hint="eastAsia" w:ascii="宋体" w:hAnsi="宋体" w:eastAsia="宋体" w:cs="宋体"/>
      <w:color w:val="000000"/>
      <w:sz w:val="24"/>
      <w:szCs w:val="24"/>
      <w:u w:val="none"/>
    </w:rPr>
  </w:style>
  <w:style w:type="character" w:customStyle="1" w:styleId="10">
    <w:name w:val="font4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萌主</cp:lastModifiedBy>
  <dcterms:modified xsi:type="dcterms:W3CDTF">2020-11-21T02:10:46Z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