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rFonts w:hint="eastAsia" w:ascii="黑体" w:hAnsi="宋体" w:eastAsia="黑体" w:cs="宋体"/>
          <w:kern w:val="0"/>
          <w:sz w:val="28"/>
          <w:szCs w:val="28"/>
        </w:rPr>
      </w:pPr>
    </w:p>
    <w:p>
      <w:pPr>
        <w:widowControl/>
        <w:jc w:val="left"/>
        <w:rPr>
          <w:rFonts w:hint="eastAsia" w:ascii="黑体" w:hAnsi="宋体" w:eastAsia="黑体" w:cs="宋体"/>
          <w:kern w:val="0"/>
          <w:sz w:val="28"/>
          <w:szCs w:val="28"/>
        </w:rPr>
      </w:pPr>
    </w:p>
    <w:p>
      <w:pPr>
        <w:widowControl/>
        <w:jc w:val="left"/>
        <w:rPr>
          <w:rFonts w:hint="eastAsia" w:ascii="黑体" w:hAnsi="宋体" w:eastAsia="黑体" w:cs="宋体"/>
          <w:kern w:val="0"/>
          <w:sz w:val="28"/>
          <w:szCs w:val="28"/>
        </w:rPr>
      </w:pPr>
    </w:p>
    <w:p>
      <w:pPr>
        <w:widowControl/>
        <w:jc w:val="left"/>
        <w:rPr>
          <w:rFonts w:hint="eastAsia" w:ascii="黑体" w:hAnsi="宋体" w:eastAsia="黑体" w:cs="宋体"/>
          <w:kern w:val="0"/>
          <w:sz w:val="28"/>
          <w:szCs w:val="28"/>
        </w:rPr>
      </w:pPr>
    </w:p>
    <w:p>
      <w:pPr>
        <w:widowControl/>
        <w:jc w:val="center"/>
        <w:rPr>
          <w:rFonts w:hint="eastAsia" w:ascii="黑体" w:hAnsi="宋体" w:eastAsia="黑体" w:cs="宋体"/>
          <w:kern w:val="0"/>
          <w:sz w:val="28"/>
          <w:szCs w:val="28"/>
        </w:rPr>
      </w:pPr>
      <w:r>
        <w:rPr>
          <w:rFonts w:hint="eastAsia" w:ascii="黑体" w:hAnsi="黑体" w:eastAsia="黑体" w:cs="黑体"/>
          <w:color w:val="auto"/>
          <w:sz w:val="52"/>
          <w:szCs w:val="52"/>
          <w:highlight w:val="none"/>
          <w:lang w:val="en-US" w:eastAsia="zh-CN"/>
        </w:rPr>
        <w:t>2019年度</w:t>
      </w:r>
    </w:p>
    <w:p>
      <w:pPr>
        <w:jc w:val="center"/>
        <w:rPr>
          <w:rFonts w:hint="eastAsia" w:ascii="黑体" w:hAnsi="黑体" w:eastAsia="黑体" w:cs="黑体"/>
          <w:sz w:val="52"/>
          <w:szCs w:val="52"/>
        </w:rPr>
      </w:pPr>
      <w:r>
        <w:rPr>
          <w:rFonts w:hint="eastAsia" w:ascii="黑体" w:hAnsi="黑体" w:eastAsia="黑体" w:cs="黑体"/>
          <w:color w:val="auto"/>
          <w:sz w:val="52"/>
          <w:szCs w:val="52"/>
          <w:highlight w:val="none"/>
          <w:lang w:eastAsia="zh-CN"/>
        </w:rPr>
        <w:t>栾川县教育体育</w:t>
      </w:r>
      <w:r>
        <w:rPr>
          <w:rFonts w:hint="eastAsia" w:ascii="黑体" w:hAnsi="黑体" w:eastAsia="黑体" w:cs="黑体"/>
          <w:color w:val="auto"/>
          <w:sz w:val="52"/>
          <w:szCs w:val="52"/>
          <w:highlight w:val="none"/>
        </w:rPr>
        <w:t>局部门决算</w:t>
      </w:r>
    </w:p>
    <w:p>
      <w:pPr>
        <w:jc w:val="center"/>
        <w:rPr>
          <w:rFonts w:hint="eastAsia" w:ascii="黑体" w:hAnsi="黑体" w:eastAsia="黑体" w:cs="黑体"/>
          <w:sz w:val="52"/>
          <w:szCs w:val="52"/>
        </w:rPr>
      </w:pPr>
    </w:p>
    <w:p>
      <w:pPr>
        <w:jc w:val="center"/>
        <w:rPr>
          <w:rFonts w:hint="eastAsia" w:ascii="黑体" w:hAnsi="黑体" w:eastAsia="黑体" w:cs="黑体"/>
          <w:sz w:val="52"/>
          <w:szCs w:val="52"/>
        </w:rPr>
      </w:pPr>
    </w:p>
    <w:p>
      <w:pPr>
        <w:jc w:val="center"/>
        <w:rPr>
          <w:rFonts w:hint="eastAsia" w:ascii="黑体" w:hAnsi="黑体" w:eastAsia="黑体" w:cs="黑体"/>
          <w:sz w:val="52"/>
          <w:szCs w:val="52"/>
        </w:rPr>
      </w:pPr>
    </w:p>
    <w:p>
      <w:pPr>
        <w:jc w:val="center"/>
        <w:rPr>
          <w:rFonts w:hint="eastAsia" w:ascii="黑体" w:hAnsi="黑体" w:eastAsia="黑体" w:cs="黑体"/>
          <w:sz w:val="52"/>
          <w:szCs w:val="52"/>
        </w:rPr>
      </w:pPr>
    </w:p>
    <w:p>
      <w:pPr>
        <w:jc w:val="center"/>
        <w:rPr>
          <w:rFonts w:hint="eastAsia" w:ascii="黑体" w:hAnsi="黑体" w:eastAsia="黑体" w:cs="黑体"/>
          <w:sz w:val="52"/>
          <w:szCs w:val="52"/>
        </w:rPr>
      </w:pPr>
    </w:p>
    <w:p>
      <w:pPr>
        <w:jc w:val="center"/>
        <w:rPr>
          <w:rFonts w:hint="eastAsia" w:ascii="黑体" w:hAnsi="黑体" w:eastAsia="黑体" w:cs="黑体"/>
          <w:sz w:val="52"/>
          <w:szCs w:val="52"/>
        </w:rPr>
      </w:pPr>
    </w:p>
    <w:p>
      <w:pPr>
        <w:jc w:val="center"/>
        <w:rPr>
          <w:rFonts w:hint="eastAsia" w:ascii="黑体" w:hAnsi="黑体" w:eastAsia="黑体" w:cs="黑体"/>
          <w:sz w:val="52"/>
          <w:szCs w:val="52"/>
        </w:rPr>
      </w:pPr>
    </w:p>
    <w:p>
      <w:pPr>
        <w:jc w:val="center"/>
        <w:rPr>
          <w:rFonts w:hint="eastAsia" w:ascii="黑体" w:hAnsi="黑体" w:eastAsia="黑体" w:cs="黑体"/>
          <w:sz w:val="52"/>
          <w:szCs w:val="52"/>
        </w:rPr>
      </w:pPr>
    </w:p>
    <w:p>
      <w:pPr>
        <w:jc w:val="center"/>
        <w:rPr>
          <w:rFonts w:hint="eastAsia" w:ascii="黑体" w:hAnsi="黑体" w:eastAsia="黑体" w:cs="黑体"/>
          <w:color w:val="000000" w:themeColor="text1"/>
          <w:sz w:val="32"/>
          <w:szCs w:val="32"/>
          <w:highlight w:val="none"/>
          <w14:textFill>
            <w14:solidFill>
              <w14:schemeClr w14:val="tx1"/>
            </w14:solidFill>
          </w14:textFill>
        </w:rPr>
        <w:sectPr>
          <w:pgSz w:w="11906" w:h="16838"/>
          <w:pgMar w:top="1440" w:right="1531" w:bottom="1440" w:left="1587" w:header="850" w:footer="992" w:gutter="0"/>
          <w:pgNumType w:fmt="numberInDash"/>
          <w:cols w:space="720" w:num="1"/>
          <w:docGrid w:type="lines" w:linePitch="317" w:charSpace="0"/>
        </w:sectPr>
      </w:pPr>
      <w:r>
        <w:rPr>
          <w:rFonts w:hint="eastAsia" w:ascii="黑体" w:hAnsi="黑体" w:eastAsia="黑体" w:cs="黑体"/>
          <w:color w:val="000000" w:themeColor="text1"/>
          <w:sz w:val="32"/>
          <w:szCs w:val="32"/>
          <w:highlight w:val="none"/>
          <w14:textFill>
            <w14:solidFill>
              <w14:schemeClr w14:val="tx1"/>
            </w14:solidFill>
          </w14:textFill>
        </w:rPr>
        <w:t>二〇二〇年</w:t>
      </w:r>
      <w:r>
        <w:rPr>
          <w:rFonts w:hint="eastAsia" w:ascii="黑体" w:hAnsi="黑体" w:eastAsia="黑体" w:cs="黑体"/>
          <w:color w:val="000000" w:themeColor="text1"/>
          <w:sz w:val="32"/>
          <w:szCs w:val="32"/>
          <w:highlight w:val="none"/>
          <w:lang w:eastAsia="zh-CN"/>
          <w14:textFill>
            <w14:solidFill>
              <w14:schemeClr w14:val="tx1"/>
            </w14:solidFill>
          </w14:textFill>
        </w:rPr>
        <w:t>八</w:t>
      </w:r>
      <w:r>
        <w:rPr>
          <w:rFonts w:hint="eastAsia" w:ascii="黑体" w:hAnsi="黑体" w:eastAsia="黑体" w:cs="黑体"/>
          <w:color w:val="000000" w:themeColor="text1"/>
          <w:sz w:val="32"/>
          <w:szCs w:val="32"/>
          <w:highlight w:val="none"/>
          <w14:textFill>
            <w14:solidFill>
              <w14:schemeClr w14:val="tx1"/>
            </w14:solidFill>
          </w14:textFill>
        </w:rPr>
        <w:t>月</w:t>
      </w:r>
    </w:p>
    <w:p>
      <w:pPr>
        <w:jc w:val="center"/>
        <w:rPr>
          <w:rFonts w:ascii="黑体" w:hAnsi="黑体" w:eastAsia="黑体" w:cs="黑体"/>
          <w:sz w:val="36"/>
          <w:szCs w:val="36"/>
        </w:rPr>
      </w:pPr>
      <w:r>
        <w:rPr>
          <w:rFonts w:hint="eastAsia" w:ascii="黑体" w:hAnsi="黑体" w:eastAsia="黑体" w:cs="黑体"/>
          <w:sz w:val="36"/>
          <w:szCs w:val="36"/>
        </w:rPr>
        <w:t>目　　录</w:t>
      </w:r>
    </w:p>
    <w:p>
      <w:pPr>
        <w:jc w:val="left"/>
        <w:rPr>
          <w:rFonts w:ascii="黑体" w:hAnsi="黑体" w:eastAsia="黑体" w:cs="黑体"/>
          <w:sz w:val="32"/>
          <w:szCs w:val="32"/>
        </w:rPr>
      </w:pPr>
      <w:r>
        <w:rPr>
          <w:rFonts w:hint="eastAsia" w:ascii="黑体" w:hAnsi="黑体" w:eastAsia="黑体" w:cs="黑体"/>
          <w:sz w:val="32"/>
          <w:szCs w:val="32"/>
        </w:rPr>
        <w:t>第一部分　　</w:t>
      </w:r>
      <w:r>
        <w:rPr>
          <w:rFonts w:hint="eastAsia" w:ascii="黑体" w:hAnsi="黑体" w:eastAsia="黑体" w:cs="黑体"/>
          <w:sz w:val="32"/>
          <w:szCs w:val="32"/>
          <w:lang w:eastAsia="zh-CN"/>
        </w:rPr>
        <w:t>栾川县教育体育局</w:t>
      </w:r>
      <w:r>
        <w:rPr>
          <w:rFonts w:hint="eastAsia" w:ascii="黑体" w:hAnsi="黑体" w:eastAsia="黑体" w:cs="黑体"/>
          <w:sz w:val="32"/>
          <w:szCs w:val="32"/>
        </w:rPr>
        <w:t>概况</w:t>
      </w:r>
    </w:p>
    <w:p>
      <w:pPr>
        <w:numPr>
          <w:ilvl w:val="0"/>
          <w:numId w:val="1"/>
        </w:numPr>
        <w:ind w:firstLine="640" w:firstLineChars="200"/>
        <w:jc w:val="left"/>
        <w:rPr>
          <w:rFonts w:ascii="宋体" w:hAnsi="宋体" w:cs="宋体"/>
          <w:sz w:val="32"/>
          <w:szCs w:val="32"/>
        </w:rPr>
      </w:pPr>
      <w:r>
        <w:rPr>
          <w:rFonts w:hint="eastAsia" w:ascii="宋体" w:hAnsi="宋体" w:cs="宋体"/>
          <w:sz w:val="32"/>
          <w:szCs w:val="32"/>
        </w:rPr>
        <w:t>部门职责</w:t>
      </w:r>
    </w:p>
    <w:p>
      <w:pPr>
        <w:numPr>
          <w:ilvl w:val="0"/>
          <w:numId w:val="1"/>
        </w:numPr>
        <w:ind w:firstLine="640" w:firstLineChars="200"/>
        <w:jc w:val="left"/>
        <w:rPr>
          <w:rFonts w:ascii="宋体" w:hAnsi="宋体" w:cs="宋体"/>
          <w:sz w:val="32"/>
          <w:szCs w:val="32"/>
        </w:rPr>
      </w:pPr>
      <w:r>
        <w:rPr>
          <w:rFonts w:hint="eastAsia" w:ascii="宋体" w:hAnsi="宋体" w:cs="宋体"/>
          <w:sz w:val="32"/>
          <w:szCs w:val="32"/>
        </w:rPr>
        <w:t>机构设置</w:t>
      </w:r>
    </w:p>
    <w:p>
      <w:pPr>
        <w:jc w:val="left"/>
        <w:rPr>
          <w:rFonts w:ascii="黑体" w:hAnsi="黑体" w:eastAsia="黑体" w:cs="黑体"/>
          <w:sz w:val="32"/>
          <w:szCs w:val="32"/>
        </w:rPr>
      </w:pPr>
      <w:r>
        <w:rPr>
          <w:rFonts w:hint="eastAsia" w:ascii="黑体" w:hAnsi="黑体" w:eastAsia="黑体" w:cs="黑体"/>
          <w:sz w:val="32"/>
          <w:szCs w:val="32"/>
        </w:rPr>
        <w:t>第二部分　　2019年度部门决算表</w:t>
      </w:r>
    </w:p>
    <w:p>
      <w:pPr>
        <w:ind w:firstLine="640" w:firstLineChars="200"/>
        <w:jc w:val="left"/>
        <w:rPr>
          <w:rFonts w:ascii="宋体" w:hAnsi="宋体" w:cs="宋体"/>
          <w:sz w:val="32"/>
          <w:szCs w:val="32"/>
        </w:rPr>
      </w:pPr>
      <w:r>
        <w:rPr>
          <w:rFonts w:hint="eastAsia" w:ascii="宋体" w:hAnsi="宋体" w:cs="宋体"/>
          <w:sz w:val="32"/>
          <w:szCs w:val="32"/>
        </w:rPr>
        <w:t>一、收入支出决算总表</w:t>
      </w:r>
    </w:p>
    <w:p>
      <w:pPr>
        <w:ind w:firstLine="640" w:firstLineChars="200"/>
        <w:jc w:val="left"/>
        <w:rPr>
          <w:rFonts w:ascii="宋体" w:hAnsi="宋体" w:cs="宋体"/>
          <w:sz w:val="32"/>
          <w:szCs w:val="32"/>
        </w:rPr>
      </w:pPr>
      <w:r>
        <w:rPr>
          <w:rFonts w:hint="eastAsia" w:ascii="宋体" w:hAnsi="宋体" w:cs="宋体"/>
          <w:sz w:val="32"/>
          <w:szCs w:val="32"/>
        </w:rPr>
        <w:t>二、收入决算表</w:t>
      </w:r>
    </w:p>
    <w:p>
      <w:pPr>
        <w:ind w:firstLine="640" w:firstLineChars="200"/>
        <w:jc w:val="left"/>
        <w:rPr>
          <w:rFonts w:hint="eastAsia" w:ascii="宋体" w:hAnsi="宋体" w:cs="宋体"/>
          <w:sz w:val="32"/>
          <w:szCs w:val="32"/>
        </w:rPr>
      </w:pPr>
      <w:r>
        <w:rPr>
          <w:rFonts w:hint="eastAsia" w:ascii="宋体" w:hAnsi="宋体" w:cs="宋体"/>
          <w:sz w:val="32"/>
          <w:szCs w:val="32"/>
        </w:rPr>
        <w:t>三、支出决算表</w:t>
      </w:r>
    </w:p>
    <w:p>
      <w:pPr>
        <w:ind w:firstLine="640" w:firstLineChars="200"/>
        <w:jc w:val="left"/>
        <w:rPr>
          <w:rFonts w:hint="eastAsia" w:ascii="宋体" w:hAnsi="宋体" w:cs="宋体"/>
          <w:sz w:val="32"/>
          <w:szCs w:val="32"/>
        </w:rPr>
      </w:pPr>
      <w:r>
        <w:rPr>
          <w:rFonts w:hint="eastAsia" w:ascii="宋体" w:hAnsi="宋体" w:cs="宋体"/>
          <w:sz w:val="32"/>
          <w:szCs w:val="32"/>
        </w:rPr>
        <w:t>四、财政拨款收入支出决算总表</w:t>
      </w:r>
    </w:p>
    <w:p>
      <w:pPr>
        <w:ind w:firstLine="640" w:firstLineChars="200"/>
        <w:jc w:val="left"/>
        <w:rPr>
          <w:rFonts w:hint="eastAsia" w:ascii="宋体" w:hAnsi="宋体" w:cs="宋体"/>
          <w:sz w:val="32"/>
          <w:szCs w:val="32"/>
        </w:rPr>
      </w:pPr>
      <w:r>
        <w:rPr>
          <w:rFonts w:hint="eastAsia" w:ascii="宋体" w:hAnsi="宋体" w:cs="宋体"/>
          <w:sz w:val="32"/>
          <w:szCs w:val="32"/>
        </w:rPr>
        <w:t>五、一般公共预算财政拨款支出决算表</w:t>
      </w:r>
    </w:p>
    <w:p>
      <w:pPr>
        <w:ind w:firstLine="640" w:firstLineChars="200"/>
        <w:jc w:val="left"/>
        <w:rPr>
          <w:rFonts w:hint="eastAsia" w:ascii="宋体" w:hAnsi="宋体" w:cs="宋体"/>
          <w:sz w:val="32"/>
          <w:szCs w:val="32"/>
        </w:rPr>
      </w:pPr>
      <w:r>
        <w:rPr>
          <w:rFonts w:hint="eastAsia" w:ascii="宋体" w:hAnsi="宋体" w:cs="宋体"/>
          <w:sz w:val="32"/>
          <w:szCs w:val="32"/>
        </w:rPr>
        <w:t>六、一般公共预算财政拨款基本支出决算表</w:t>
      </w:r>
    </w:p>
    <w:p>
      <w:pPr>
        <w:ind w:firstLine="640" w:firstLineChars="200"/>
        <w:jc w:val="left"/>
        <w:rPr>
          <w:rFonts w:hint="eastAsia" w:ascii="宋体" w:hAnsi="宋体" w:cs="宋体"/>
          <w:sz w:val="32"/>
          <w:szCs w:val="32"/>
        </w:rPr>
      </w:pPr>
      <w:r>
        <w:rPr>
          <w:rFonts w:hint="eastAsia" w:ascii="宋体" w:hAnsi="宋体" w:cs="宋体"/>
          <w:sz w:val="32"/>
          <w:szCs w:val="32"/>
        </w:rPr>
        <w:t>七、一般公共预算财政拨款“三公”经费支出决算表</w:t>
      </w:r>
    </w:p>
    <w:p>
      <w:pPr>
        <w:ind w:firstLine="640" w:firstLineChars="200"/>
        <w:jc w:val="left"/>
        <w:rPr>
          <w:rFonts w:hint="eastAsia" w:ascii="宋体" w:hAnsi="宋体" w:cs="宋体"/>
          <w:sz w:val="32"/>
          <w:szCs w:val="32"/>
        </w:rPr>
      </w:pPr>
      <w:r>
        <w:rPr>
          <w:rFonts w:hint="eastAsia" w:ascii="宋体" w:hAnsi="宋体" w:cs="宋体"/>
          <w:sz w:val="32"/>
          <w:szCs w:val="32"/>
        </w:rPr>
        <w:t>八、政府性基金预算财政拨款收入支出决算表</w:t>
      </w:r>
    </w:p>
    <w:p>
      <w:pPr>
        <w:jc w:val="left"/>
        <w:rPr>
          <w:rFonts w:hint="eastAsia" w:ascii="黑体" w:hAnsi="黑体" w:eastAsia="黑体" w:cs="黑体"/>
          <w:sz w:val="32"/>
          <w:szCs w:val="32"/>
        </w:rPr>
      </w:pPr>
      <w:r>
        <w:rPr>
          <w:rFonts w:hint="eastAsia" w:ascii="黑体" w:hAnsi="黑体" w:eastAsia="黑体" w:cs="黑体"/>
          <w:sz w:val="32"/>
          <w:szCs w:val="32"/>
        </w:rPr>
        <w:t>第三部分　　2019年度部门决算情况说明</w:t>
      </w:r>
    </w:p>
    <w:p>
      <w:pPr>
        <w:ind w:firstLine="640" w:firstLineChars="200"/>
        <w:jc w:val="left"/>
        <w:rPr>
          <w:rFonts w:hint="eastAsia" w:ascii="宋体" w:hAnsi="宋体" w:cs="宋体"/>
          <w:sz w:val="32"/>
          <w:szCs w:val="32"/>
        </w:rPr>
      </w:pPr>
      <w:r>
        <w:rPr>
          <w:rFonts w:hint="eastAsia" w:ascii="宋体" w:hAnsi="宋体" w:cs="宋体"/>
          <w:sz w:val="32"/>
          <w:szCs w:val="32"/>
        </w:rPr>
        <w:t>一、收入支出决算总体情况说明</w:t>
      </w:r>
    </w:p>
    <w:p>
      <w:pPr>
        <w:ind w:firstLine="640" w:firstLineChars="200"/>
        <w:jc w:val="left"/>
        <w:rPr>
          <w:rFonts w:hint="eastAsia" w:ascii="宋体" w:hAnsi="宋体" w:cs="宋体"/>
          <w:sz w:val="32"/>
          <w:szCs w:val="32"/>
        </w:rPr>
      </w:pPr>
      <w:r>
        <w:rPr>
          <w:rFonts w:hint="eastAsia" w:ascii="宋体" w:hAnsi="宋体" w:cs="宋体"/>
          <w:sz w:val="32"/>
          <w:szCs w:val="32"/>
        </w:rPr>
        <w:t>二、收入决算情况说明</w:t>
      </w:r>
    </w:p>
    <w:p>
      <w:pPr>
        <w:ind w:firstLine="640" w:firstLineChars="200"/>
        <w:jc w:val="left"/>
        <w:rPr>
          <w:rFonts w:hint="eastAsia" w:ascii="宋体" w:hAnsi="宋体" w:cs="宋体"/>
          <w:sz w:val="32"/>
          <w:szCs w:val="32"/>
        </w:rPr>
      </w:pPr>
      <w:r>
        <w:rPr>
          <w:rFonts w:hint="eastAsia" w:ascii="宋体" w:hAnsi="宋体" w:cs="宋体"/>
          <w:sz w:val="32"/>
          <w:szCs w:val="32"/>
        </w:rPr>
        <w:t>三、支出决算情况说明</w:t>
      </w:r>
    </w:p>
    <w:p>
      <w:pPr>
        <w:ind w:firstLine="640" w:firstLineChars="200"/>
        <w:jc w:val="left"/>
        <w:rPr>
          <w:rFonts w:hint="eastAsia" w:ascii="宋体" w:hAnsi="宋体" w:cs="宋体"/>
          <w:sz w:val="32"/>
          <w:szCs w:val="32"/>
        </w:rPr>
      </w:pPr>
      <w:r>
        <w:rPr>
          <w:rFonts w:hint="eastAsia" w:ascii="宋体" w:hAnsi="宋体" w:cs="宋体"/>
          <w:sz w:val="32"/>
          <w:szCs w:val="32"/>
        </w:rPr>
        <w:t>四、财政拨款收入支出决算总体情况说明</w:t>
      </w:r>
    </w:p>
    <w:p>
      <w:pPr>
        <w:ind w:firstLine="640" w:firstLineChars="200"/>
        <w:jc w:val="left"/>
        <w:rPr>
          <w:rFonts w:hint="eastAsia" w:ascii="宋体" w:hAnsi="宋体" w:cs="宋体"/>
          <w:sz w:val="32"/>
          <w:szCs w:val="32"/>
        </w:rPr>
      </w:pPr>
      <w:r>
        <w:rPr>
          <w:rFonts w:hint="eastAsia" w:ascii="宋体" w:hAnsi="宋体" w:cs="宋体"/>
          <w:sz w:val="32"/>
          <w:szCs w:val="32"/>
        </w:rPr>
        <w:t>五、一般公共预算财政拨款支出决算情况说明</w:t>
      </w:r>
    </w:p>
    <w:p>
      <w:pPr>
        <w:ind w:firstLine="640" w:firstLineChars="200"/>
        <w:jc w:val="left"/>
        <w:rPr>
          <w:rFonts w:hint="eastAsia" w:ascii="宋体" w:hAnsi="宋体" w:cs="宋体"/>
          <w:sz w:val="32"/>
          <w:szCs w:val="32"/>
        </w:rPr>
      </w:pPr>
      <w:r>
        <w:rPr>
          <w:rFonts w:hint="eastAsia" w:ascii="宋体" w:hAnsi="宋体" w:cs="宋体"/>
          <w:sz w:val="32"/>
          <w:szCs w:val="32"/>
        </w:rPr>
        <w:t>六、一般公共预算财政拨款基本支出决算情况说明</w:t>
      </w:r>
    </w:p>
    <w:p>
      <w:pPr>
        <w:ind w:firstLine="640" w:firstLineChars="200"/>
        <w:jc w:val="left"/>
        <w:rPr>
          <w:rFonts w:hint="eastAsia" w:ascii="宋体" w:hAnsi="宋体" w:cs="宋体"/>
          <w:sz w:val="32"/>
          <w:szCs w:val="32"/>
        </w:rPr>
      </w:pPr>
      <w:r>
        <w:rPr>
          <w:rFonts w:hint="eastAsia" w:ascii="宋体" w:hAnsi="宋体" w:cs="宋体"/>
          <w:sz w:val="32"/>
          <w:szCs w:val="32"/>
        </w:rPr>
        <w:t>七、一般公共预算财政拨款“三公”经费支出决算情况说明</w:t>
      </w:r>
    </w:p>
    <w:p>
      <w:pPr>
        <w:ind w:firstLine="640" w:firstLineChars="200"/>
        <w:jc w:val="left"/>
        <w:rPr>
          <w:rFonts w:hint="eastAsia" w:ascii="宋体" w:hAnsi="宋体" w:cs="宋体"/>
          <w:sz w:val="32"/>
          <w:szCs w:val="32"/>
        </w:rPr>
      </w:pPr>
      <w:r>
        <w:rPr>
          <w:rFonts w:hint="eastAsia" w:ascii="宋体" w:hAnsi="宋体" w:cs="宋体"/>
          <w:sz w:val="32"/>
          <w:szCs w:val="32"/>
        </w:rPr>
        <w:t>八、预算绩效情况说明</w:t>
      </w:r>
    </w:p>
    <w:p>
      <w:pPr>
        <w:ind w:firstLine="640" w:firstLineChars="200"/>
        <w:jc w:val="left"/>
        <w:rPr>
          <w:rFonts w:hint="eastAsia" w:ascii="宋体" w:hAnsi="宋体" w:cs="宋体"/>
          <w:sz w:val="32"/>
          <w:szCs w:val="32"/>
        </w:rPr>
      </w:pPr>
      <w:r>
        <w:rPr>
          <w:rFonts w:hint="eastAsia" w:ascii="宋体" w:hAnsi="宋体" w:cs="宋体"/>
          <w:sz w:val="32"/>
          <w:szCs w:val="32"/>
        </w:rPr>
        <w:t>九、政府性基金预算财政拨款支出决算情况说明</w:t>
      </w:r>
    </w:p>
    <w:p>
      <w:pPr>
        <w:ind w:firstLine="640" w:firstLineChars="200"/>
        <w:jc w:val="left"/>
        <w:rPr>
          <w:rFonts w:hint="eastAsia" w:ascii="宋体" w:hAnsi="宋体" w:cs="宋体"/>
          <w:sz w:val="32"/>
          <w:szCs w:val="32"/>
        </w:rPr>
      </w:pPr>
      <w:r>
        <w:rPr>
          <w:rFonts w:hint="eastAsia" w:ascii="宋体" w:hAnsi="宋体" w:cs="宋体"/>
          <w:sz w:val="32"/>
          <w:szCs w:val="32"/>
        </w:rPr>
        <w:t>十、机关运行经费支出情况说明</w:t>
      </w:r>
    </w:p>
    <w:p>
      <w:pPr>
        <w:ind w:firstLine="640" w:firstLineChars="200"/>
        <w:jc w:val="left"/>
        <w:rPr>
          <w:rFonts w:hint="eastAsia" w:ascii="宋体" w:hAnsi="宋体" w:cs="宋体"/>
          <w:sz w:val="32"/>
          <w:szCs w:val="32"/>
        </w:rPr>
      </w:pPr>
      <w:r>
        <w:rPr>
          <w:rFonts w:hint="eastAsia" w:ascii="宋体" w:hAnsi="宋体" w:cs="宋体"/>
          <w:sz w:val="32"/>
          <w:szCs w:val="32"/>
        </w:rPr>
        <w:t>十一、政府采购支出情况说明</w:t>
      </w:r>
    </w:p>
    <w:p>
      <w:pPr>
        <w:ind w:firstLine="640" w:firstLineChars="200"/>
        <w:jc w:val="left"/>
        <w:rPr>
          <w:rFonts w:hint="eastAsia" w:ascii="宋体" w:hAnsi="宋体" w:cs="宋体"/>
          <w:sz w:val="32"/>
          <w:szCs w:val="32"/>
        </w:rPr>
      </w:pPr>
      <w:r>
        <w:rPr>
          <w:rFonts w:hint="eastAsia" w:ascii="宋体" w:hAnsi="宋体" w:cs="宋体"/>
          <w:sz w:val="32"/>
          <w:szCs w:val="32"/>
        </w:rPr>
        <w:t>十二、国有资产占用情况说明</w:t>
      </w:r>
    </w:p>
    <w:p>
      <w:pPr>
        <w:jc w:val="left"/>
        <w:rPr>
          <w:rFonts w:hint="eastAsia" w:ascii="黑体" w:hAnsi="黑体" w:eastAsia="黑体" w:cs="黑体"/>
          <w:sz w:val="32"/>
          <w:szCs w:val="32"/>
        </w:rPr>
      </w:pPr>
      <w:r>
        <w:rPr>
          <w:rFonts w:hint="eastAsia" w:ascii="黑体" w:hAnsi="黑体" w:eastAsia="黑体" w:cs="黑体"/>
          <w:sz w:val="32"/>
          <w:szCs w:val="32"/>
        </w:rPr>
        <w:t>第四部分　　名词解释</w:t>
      </w:r>
    </w:p>
    <w:p>
      <w:pPr>
        <w:ind w:firstLine="640" w:firstLineChars="200"/>
        <w:jc w:val="left"/>
        <w:rPr>
          <w:rFonts w:ascii="宋体" w:hAnsi="宋体" w:cs="宋体"/>
          <w:sz w:val="32"/>
          <w:szCs w:val="32"/>
        </w:rPr>
      </w:pPr>
    </w:p>
    <w:p>
      <w:pPr>
        <w:jc w:val="left"/>
        <w:rPr>
          <w:rFonts w:hint="eastAsia" w:ascii="黑体" w:hAnsi="黑体" w:eastAsia="黑体" w:cs="黑体"/>
          <w:sz w:val="32"/>
          <w:szCs w:val="32"/>
        </w:rPr>
        <w:sectPr>
          <w:footerReference r:id="rId3" w:type="default"/>
          <w:footerReference r:id="rId4" w:type="even"/>
          <w:pgSz w:w="11906" w:h="16838"/>
          <w:pgMar w:top="1440" w:right="1531" w:bottom="1440" w:left="1587" w:header="850" w:footer="992" w:gutter="0"/>
          <w:pgNumType w:fmt="numberInDash" w:start="1"/>
          <w:cols w:space="720" w:num="1"/>
          <w:docGrid w:type="lines" w:linePitch="317" w:charSpace="0"/>
        </w:sectPr>
      </w:pPr>
    </w:p>
    <w:p>
      <w:pPr>
        <w:widowControl/>
        <w:jc w:val="left"/>
        <w:rPr>
          <w:rFonts w:hint="eastAsia" w:ascii="黑体" w:hAnsi="宋体" w:eastAsia="黑体" w:cs="宋体"/>
          <w:kern w:val="0"/>
          <w:sz w:val="28"/>
          <w:szCs w:val="28"/>
        </w:rPr>
      </w:pPr>
    </w:p>
    <w:p>
      <w:pPr>
        <w:widowControl/>
        <w:jc w:val="left"/>
        <w:rPr>
          <w:rFonts w:hint="eastAsia" w:ascii="黑体" w:hAnsi="宋体" w:eastAsia="黑体" w:cs="宋体"/>
          <w:kern w:val="0"/>
          <w:sz w:val="28"/>
          <w:szCs w:val="28"/>
        </w:rPr>
      </w:pPr>
    </w:p>
    <w:p>
      <w:pPr>
        <w:widowControl/>
        <w:jc w:val="left"/>
        <w:rPr>
          <w:rFonts w:hint="eastAsia" w:ascii="黑体" w:hAnsi="宋体" w:eastAsia="黑体" w:cs="宋体"/>
          <w:kern w:val="0"/>
          <w:sz w:val="28"/>
          <w:szCs w:val="28"/>
        </w:rPr>
      </w:pPr>
    </w:p>
    <w:p>
      <w:pPr>
        <w:widowControl/>
        <w:jc w:val="left"/>
        <w:rPr>
          <w:rFonts w:hint="eastAsia" w:ascii="黑体" w:hAnsi="宋体" w:eastAsia="黑体" w:cs="宋体"/>
          <w:kern w:val="0"/>
          <w:sz w:val="28"/>
          <w:szCs w:val="28"/>
        </w:rPr>
      </w:pPr>
    </w:p>
    <w:p>
      <w:pPr>
        <w:widowControl/>
        <w:jc w:val="left"/>
        <w:rPr>
          <w:rFonts w:hint="eastAsia" w:ascii="黑体" w:hAnsi="宋体" w:eastAsia="黑体" w:cs="宋体"/>
          <w:kern w:val="0"/>
          <w:sz w:val="28"/>
          <w:szCs w:val="28"/>
        </w:rPr>
      </w:pPr>
    </w:p>
    <w:p>
      <w:pPr>
        <w:widowControl/>
        <w:jc w:val="left"/>
        <w:rPr>
          <w:rFonts w:hint="eastAsia" w:ascii="黑体" w:hAnsi="宋体" w:eastAsia="黑体" w:cs="宋体"/>
          <w:kern w:val="0"/>
          <w:sz w:val="28"/>
          <w:szCs w:val="28"/>
        </w:rPr>
      </w:pPr>
    </w:p>
    <w:p>
      <w:pPr>
        <w:widowControl/>
        <w:jc w:val="left"/>
        <w:rPr>
          <w:rFonts w:hint="eastAsia" w:ascii="黑体" w:hAnsi="宋体" w:eastAsia="黑体" w:cs="宋体"/>
          <w:kern w:val="0"/>
          <w:sz w:val="28"/>
          <w:szCs w:val="28"/>
        </w:rPr>
      </w:pPr>
    </w:p>
    <w:p>
      <w:pPr>
        <w:widowControl/>
        <w:jc w:val="center"/>
        <w:outlineLvl w:val="0"/>
        <w:rPr>
          <w:rFonts w:hint="eastAsia" w:ascii="黑体" w:hAnsi="宋体" w:eastAsia="黑体" w:cs="宋体"/>
          <w:kern w:val="0"/>
          <w:sz w:val="28"/>
          <w:szCs w:val="28"/>
        </w:rPr>
      </w:pPr>
      <w:r>
        <w:rPr>
          <w:rFonts w:hint="eastAsia" w:ascii="黑体" w:hAnsi="黑体" w:eastAsia="黑体" w:cs="黑体"/>
          <w:sz w:val="48"/>
          <w:szCs w:val="48"/>
        </w:rPr>
        <w:t xml:space="preserve">第一部分  </w:t>
      </w:r>
      <w:r>
        <w:rPr>
          <w:rFonts w:hint="eastAsia" w:ascii="黑体" w:hAnsi="黑体" w:eastAsia="黑体" w:cs="黑体"/>
          <w:sz w:val="48"/>
          <w:szCs w:val="48"/>
          <w:lang w:eastAsia="zh-CN"/>
        </w:rPr>
        <w:t>栾川县教育体育局</w:t>
      </w:r>
      <w:r>
        <w:rPr>
          <w:rFonts w:hint="eastAsia" w:ascii="黑体" w:hAnsi="黑体" w:eastAsia="黑体" w:cs="黑体"/>
          <w:sz w:val="48"/>
          <w:szCs w:val="48"/>
        </w:rPr>
        <w:t>概况</w:t>
      </w:r>
    </w:p>
    <w:p>
      <w:pPr>
        <w:widowControl/>
        <w:jc w:val="left"/>
        <w:rPr>
          <w:rFonts w:hint="eastAsia" w:ascii="黑体" w:hAnsi="宋体" w:eastAsia="黑体" w:cs="宋体"/>
          <w:kern w:val="0"/>
          <w:sz w:val="28"/>
          <w:szCs w:val="28"/>
        </w:rPr>
      </w:pPr>
    </w:p>
    <w:p>
      <w:pPr>
        <w:widowControl/>
        <w:jc w:val="left"/>
        <w:rPr>
          <w:rFonts w:hint="eastAsia" w:ascii="黑体" w:hAnsi="宋体" w:eastAsia="黑体" w:cs="宋体"/>
          <w:kern w:val="0"/>
          <w:sz w:val="28"/>
          <w:szCs w:val="28"/>
        </w:rPr>
        <w:sectPr>
          <w:pgSz w:w="11906" w:h="16838"/>
          <w:pgMar w:top="1440" w:right="1800" w:bottom="1440" w:left="1800" w:header="720" w:footer="720" w:gutter="0"/>
          <w:pgNumType w:fmt="numberInDash"/>
          <w:cols w:space="720" w:num="1"/>
          <w:docGrid w:type="lines" w:linePitch="312" w:charSpace="0"/>
        </w:sectPr>
      </w:pPr>
    </w:p>
    <w:p>
      <w:pPr>
        <w:widowControl/>
        <w:ind w:firstLine="640" w:firstLineChars="200"/>
        <w:jc w:val="left"/>
        <w:outlineLvl w:val="1"/>
        <w:rPr>
          <w:rFonts w:hint="eastAsia" w:ascii="黑体" w:hAnsi="黑体" w:eastAsia="黑体" w:cs="黑体"/>
          <w:color w:val="auto"/>
          <w:kern w:val="0"/>
          <w:sz w:val="32"/>
          <w:szCs w:val="32"/>
          <w:highlight w:val="none"/>
          <w:lang w:val="en-US" w:eastAsia="zh-CN"/>
        </w:rPr>
      </w:pPr>
      <w:r>
        <w:rPr>
          <w:rFonts w:hint="eastAsia" w:ascii="黑体" w:hAnsi="黑体" w:eastAsia="黑体" w:cs="黑体"/>
          <w:color w:val="auto"/>
          <w:kern w:val="0"/>
          <w:sz w:val="32"/>
          <w:szCs w:val="32"/>
          <w:highlight w:val="none"/>
          <w:lang w:val="en-US" w:eastAsia="zh-CN"/>
        </w:rPr>
        <w:t>一、部门</w:t>
      </w:r>
      <w:r>
        <w:rPr>
          <w:rFonts w:hint="eastAsia" w:ascii="黑体" w:hAnsi="黑体" w:eastAsia="黑体" w:cs="黑体"/>
          <w:bCs/>
          <w:sz w:val="32"/>
          <w:szCs w:val="32"/>
        </w:rPr>
        <w:t>职责</w:t>
      </w:r>
    </w:p>
    <w:p>
      <w:pPr>
        <w:keepNext w:val="0"/>
        <w:keepLines w:val="0"/>
        <w:pageBreakBefore w:val="0"/>
        <w:widowControl w:val="0"/>
        <w:kinsoku/>
        <w:wordWrap/>
        <w:overflowPunct/>
        <w:topLinePunct w:val="0"/>
        <w:bidi w:val="0"/>
        <w:snapToGrid/>
        <w:ind w:firstLine="640" w:firstLineChars="200"/>
        <w:textAlignment w:val="auto"/>
        <w:rPr>
          <w:rFonts w:hint="eastAsia" w:ascii="仿宋_GB2312" w:eastAsia="仿宋_GB2312"/>
          <w:sz w:val="32"/>
          <w:szCs w:val="32"/>
        </w:rPr>
      </w:pPr>
      <w:r>
        <w:rPr>
          <w:rFonts w:hint="eastAsia" w:ascii="仿宋_GB2312" w:eastAsia="仿宋_GB2312"/>
          <w:sz w:val="32"/>
          <w:szCs w:val="32"/>
        </w:rPr>
        <w:t>（一）贯彻落实国家、省、市教育、体育改革与发展的法律、法规、规章和方针、政策、规划，制</w:t>
      </w:r>
      <w:r>
        <w:rPr>
          <w:rFonts w:hint="eastAsia" w:ascii="仿宋_GB2312" w:eastAsia="仿宋_GB2312"/>
          <w:sz w:val="32"/>
          <w:szCs w:val="32"/>
          <w:lang w:eastAsia="zh-CN"/>
        </w:rPr>
        <w:t>定</w:t>
      </w:r>
      <w:r>
        <w:rPr>
          <w:rFonts w:hint="eastAsia" w:ascii="仿宋_GB2312" w:eastAsia="仿宋_GB2312"/>
          <w:sz w:val="32"/>
          <w:szCs w:val="32"/>
        </w:rPr>
        <w:t>全县教育体育事业中长期发展规划和年度计划，指导和推动</w:t>
      </w:r>
      <w:r>
        <w:rPr>
          <w:rFonts w:hint="eastAsia" w:ascii="仿宋_GB2312" w:eastAsia="仿宋_GB2312"/>
          <w:sz w:val="32"/>
          <w:szCs w:val="32"/>
          <w:lang w:eastAsia="zh-CN"/>
        </w:rPr>
        <w:t>教</w:t>
      </w:r>
      <w:r>
        <w:rPr>
          <w:rFonts w:hint="eastAsia" w:ascii="仿宋_GB2312" w:eastAsia="仿宋_GB2312"/>
          <w:sz w:val="32"/>
          <w:szCs w:val="32"/>
        </w:rPr>
        <w:t>育体制改革；负责教育体育理论研究和宣传工作；贯彻执行上级关于教育体育系统劳资、人事管理工作的政策和规章制度，提出</w:t>
      </w:r>
      <w:r>
        <w:rPr>
          <w:rFonts w:hint="eastAsia" w:ascii="仿宋_GB2312" w:eastAsia="仿宋_GB2312"/>
          <w:sz w:val="32"/>
          <w:szCs w:val="32"/>
          <w:lang w:eastAsia="zh-CN"/>
        </w:rPr>
        <w:t>全县</w:t>
      </w:r>
      <w:r>
        <w:rPr>
          <w:rFonts w:hint="eastAsia" w:ascii="仿宋_GB2312" w:eastAsia="仿宋_GB2312"/>
          <w:sz w:val="32"/>
          <w:szCs w:val="32"/>
        </w:rPr>
        <w:t>相关政策建议和实施办法。</w:t>
      </w:r>
    </w:p>
    <w:p>
      <w:pPr>
        <w:keepNext w:val="0"/>
        <w:keepLines w:val="0"/>
        <w:pageBreakBefore w:val="0"/>
        <w:widowControl w:val="0"/>
        <w:kinsoku/>
        <w:wordWrap/>
        <w:overflowPunct/>
        <w:topLinePunct w:val="0"/>
        <w:bidi w:val="0"/>
        <w:snapToGrid/>
        <w:ind w:firstLine="640" w:firstLineChars="200"/>
        <w:textAlignment w:val="auto"/>
        <w:rPr>
          <w:rFonts w:hint="eastAsia" w:ascii="仿宋_GB2312" w:eastAsia="仿宋_GB2312"/>
          <w:sz w:val="32"/>
          <w:szCs w:val="32"/>
        </w:rPr>
      </w:pPr>
      <w:r>
        <w:rPr>
          <w:rFonts w:hint="eastAsia" w:ascii="仿宋_GB2312" w:eastAsia="仿宋_GB2312"/>
          <w:sz w:val="32"/>
          <w:szCs w:val="32"/>
        </w:rPr>
        <w:t>（二）主管全县教师工作，负责高级中学、中等职业学校教师和初中、小学、幼儿园教师资格的管理；按照规定权限负责有关干部管理工作；负责教育体育系统的表彰奖励；归口管理教师和教育体育管理人员继续教育；指导各级各类学校内部人事与分配制度改革。</w:t>
      </w:r>
    </w:p>
    <w:p>
      <w:pPr>
        <w:keepNext w:val="0"/>
        <w:keepLines w:val="0"/>
        <w:pageBreakBefore w:val="0"/>
        <w:widowControl w:val="0"/>
        <w:kinsoku/>
        <w:wordWrap/>
        <w:overflowPunct/>
        <w:topLinePunct w:val="0"/>
        <w:bidi w:val="0"/>
        <w:snapToGrid/>
        <w:ind w:firstLine="640" w:firstLineChars="200"/>
        <w:textAlignment w:val="auto"/>
        <w:rPr>
          <w:rFonts w:hint="eastAsia" w:ascii="仿宋_GB2312" w:eastAsia="仿宋_GB2312"/>
          <w:sz w:val="32"/>
          <w:szCs w:val="32"/>
        </w:rPr>
      </w:pPr>
      <w:r>
        <w:rPr>
          <w:rFonts w:hint="eastAsia" w:ascii="仿宋_GB2312" w:eastAsia="仿宋_GB2312"/>
          <w:sz w:val="32"/>
          <w:szCs w:val="32"/>
        </w:rPr>
        <w:t>（三）统筹管理本部门教育体育经费和教育费附加；参与拟定教育体育拨款、教育体育基建投资和教育体育经费管理的政策并组织实施；按有关规定管理国内外对</w:t>
      </w:r>
      <w:r>
        <w:rPr>
          <w:rFonts w:hint="eastAsia" w:ascii="仿宋_GB2312" w:eastAsia="仿宋_GB2312"/>
          <w:sz w:val="32"/>
          <w:szCs w:val="32"/>
          <w:lang w:eastAsia="zh-CN"/>
        </w:rPr>
        <w:t>全县</w:t>
      </w:r>
      <w:r>
        <w:rPr>
          <w:rFonts w:hint="eastAsia" w:ascii="仿宋_GB2312" w:eastAsia="仿宋_GB2312"/>
          <w:sz w:val="32"/>
          <w:szCs w:val="32"/>
        </w:rPr>
        <w:t>的教育体育援助、教育体育贷款；负责教育体育系统的内部审计工作。</w:t>
      </w:r>
    </w:p>
    <w:p>
      <w:pPr>
        <w:keepNext w:val="0"/>
        <w:keepLines w:val="0"/>
        <w:pageBreakBefore w:val="0"/>
        <w:widowControl w:val="0"/>
        <w:kinsoku/>
        <w:wordWrap/>
        <w:overflowPunct/>
        <w:topLinePunct w:val="0"/>
        <w:bidi w:val="0"/>
        <w:snapToGrid/>
        <w:ind w:firstLine="640" w:firstLineChars="200"/>
        <w:textAlignment w:val="auto"/>
        <w:rPr>
          <w:rFonts w:hint="eastAsia" w:ascii="仿宋_GB2312" w:eastAsia="仿宋_GB2312"/>
          <w:sz w:val="32"/>
          <w:szCs w:val="32"/>
        </w:rPr>
      </w:pPr>
      <w:r>
        <w:rPr>
          <w:rFonts w:hint="eastAsia" w:ascii="仿宋_GB2312" w:eastAsia="仿宋_GB2312"/>
          <w:sz w:val="32"/>
          <w:szCs w:val="32"/>
        </w:rPr>
        <w:t>（四）负责指导全县基础教育工作；负责推进全县义务教育均衡发展和促进教育公平；督促、落实中等和初等教育学校（含社会力量举办学校）设置标准、教学基本要求、教学基本条件；指导协调各乡镇、各部门的教育工作，组织对义务教育均衡发展、扫除青壮年文盲工作的督导与评估。</w:t>
      </w:r>
    </w:p>
    <w:p>
      <w:pPr>
        <w:keepNext w:val="0"/>
        <w:keepLines w:val="0"/>
        <w:pageBreakBefore w:val="0"/>
        <w:widowControl w:val="0"/>
        <w:kinsoku/>
        <w:wordWrap/>
        <w:overflowPunct/>
        <w:topLinePunct w:val="0"/>
        <w:bidi w:val="0"/>
        <w:snapToGrid/>
        <w:ind w:firstLine="640" w:firstLineChars="200"/>
        <w:textAlignment w:val="auto"/>
        <w:rPr>
          <w:rFonts w:hint="eastAsia" w:ascii="仿宋_GB2312" w:eastAsia="仿宋_GB2312"/>
          <w:sz w:val="32"/>
          <w:szCs w:val="32"/>
        </w:rPr>
      </w:pPr>
      <w:r>
        <w:rPr>
          <w:rFonts w:hint="eastAsia" w:ascii="仿宋_GB2312" w:eastAsia="仿宋_GB2312"/>
          <w:sz w:val="32"/>
          <w:szCs w:val="32"/>
        </w:rPr>
        <w:t>（五）指导以就业为导向的职业教育发展与改革，落实中等职业教育教学指导文件和教学评估标准。</w:t>
      </w:r>
    </w:p>
    <w:p>
      <w:pPr>
        <w:keepNext w:val="0"/>
        <w:keepLines w:val="0"/>
        <w:pageBreakBefore w:val="0"/>
        <w:widowControl w:val="0"/>
        <w:kinsoku/>
        <w:wordWrap/>
        <w:overflowPunct/>
        <w:topLinePunct w:val="0"/>
        <w:bidi w:val="0"/>
        <w:snapToGrid/>
        <w:ind w:firstLine="640" w:firstLineChars="200"/>
        <w:textAlignment w:val="auto"/>
        <w:rPr>
          <w:rFonts w:hint="eastAsia" w:ascii="仿宋_GB2312" w:eastAsia="仿宋_GB2312"/>
          <w:sz w:val="32"/>
          <w:szCs w:val="32"/>
        </w:rPr>
      </w:pPr>
      <w:r>
        <w:rPr>
          <w:rFonts w:hint="eastAsia" w:ascii="仿宋_GB2312" w:eastAsia="仿宋_GB2312"/>
          <w:sz w:val="32"/>
          <w:szCs w:val="32"/>
        </w:rPr>
        <w:t>（六）负责各类高校、中等</w:t>
      </w:r>
      <w:r>
        <w:rPr>
          <w:rFonts w:hint="eastAsia" w:ascii="仿宋_GB2312" w:eastAsia="仿宋_GB2312"/>
          <w:sz w:val="32"/>
          <w:szCs w:val="32"/>
          <w:lang w:eastAsia="zh-CN"/>
        </w:rPr>
        <w:t>职业</w:t>
      </w:r>
      <w:r>
        <w:rPr>
          <w:rFonts w:hint="eastAsia" w:ascii="仿宋_GB2312" w:eastAsia="仿宋_GB2312"/>
          <w:sz w:val="32"/>
          <w:szCs w:val="32"/>
        </w:rPr>
        <w:t>学校在</w:t>
      </w:r>
      <w:r>
        <w:rPr>
          <w:rFonts w:hint="eastAsia" w:ascii="仿宋_GB2312" w:eastAsia="仿宋_GB2312"/>
          <w:sz w:val="32"/>
          <w:szCs w:val="32"/>
          <w:lang w:eastAsia="zh-CN"/>
        </w:rPr>
        <w:t>全县</w:t>
      </w:r>
      <w:r>
        <w:rPr>
          <w:rFonts w:hint="eastAsia" w:ascii="仿宋_GB2312" w:eastAsia="仿宋_GB2312"/>
          <w:sz w:val="32"/>
          <w:szCs w:val="32"/>
        </w:rPr>
        <w:t>的招生；</w:t>
      </w:r>
      <w:r>
        <w:rPr>
          <w:rFonts w:hint="eastAsia" w:ascii="仿宋_GB2312" w:eastAsia="仿宋_GB2312"/>
          <w:sz w:val="32"/>
          <w:szCs w:val="32"/>
          <w:lang w:eastAsia="zh-CN"/>
        </w:rPr>
        <w:t>制定</w:t>
      </w:r>
      <w:r>
        <w:rPr>
          <w:rFonts w:hint="eastAsia" w:ascii="仿宋_GB2312" w:eastAsia="仿宋_GB2312"/>
          <w:sz w:val="32"/>
          <w:szCs w:val="32"/>
        </w:rPr>
        <w:t>中等职业学校、高级中学、县直中小学、幼儿园的招生计划并组织实施。</w:t>
      </w:r>
    </w:p>
    <w:p>
      <w:pPr>
        <w:keepNext w:val="0"/>
        <w:keepLines w:val="0"/>
        <w:pageBreakBefore w:val="0"/>
        <w:widowControl w:val="0"/>
        <w:kinsoku/>
        <w:wordWrap/>
        <w:overflowPunct/>
        <w:topLinePunct w:val="0"/>
        <w:bidi w:val="0"/>
        <w:snapToGrid/>
        <w:ind w:firstLine="640" w:firstLineChars="200"/>
        <w:textAlignment w:val="auto"/>
        <w:rPr>
          <w:rFonts w:hint="eastAsia" w:ascii="仿宋_GB2312" w:eastAsia="仿宋_GB2312"/>
          <w:sz w:val="32"/>
          <w:szCs w:val="32"/>
        </w:rPr>
      </w:pPr>
      <w:r>
        <w:rPr>
          <w:rFonts w:hint="eastAsia" w:ascii="仿宋_GB2312" w:eastAsia="仿宋_GB2312"/>
          <w:sz w:val="32"/>
          <w:szCs w:val="32"/>
        </w:rPr>
        <w:t>（七）规划并指导全县学校的思想政治工作、品德教育工作、体育、卫生与艺术教育工作、国防教育工作；指导教育社团工作。</w:t>
      </w:r>
    </w:p>
    <w:p>
      <w:pPr>
        <w:keepNext w:val="0"/>
        <w:keepLines w:val="0"/>
        <w:pageBreakBefore w:val="0"/>
        <w:widowControl w:val="0"/>
        <w:kinsoku/>
        <w:wordWrap/>
        <w:overflowPunct/>
        <w:topLinePunct w:val="0"/>
        <w:bidi w:val="0"/>
        <w:snapToGrid/>
        <w:ind w:firstLine="640" w:firstLineChars="200"/>
        <w:textAlignment w:val="auto"/>
        <w:rPr>
          <w:rFonts w:hint="eastAsia" w:ascii="仿宋_GB2312" w:eastAsia="仿宋_GB2312"/>
          <w:sz w:val="32"/>
          <w:szCs w:val="32"/>
        </w:rPr>
      </w:pPr>
      <w:r>
        <w:rPr>
          <w:rFonts w:hint="eastAsia" w:ascii="仿宋_GB2312" w:eastAsia="仿宋_GB2312"/>
          <w:sz w:val="32"/>
          <w:szCs w:val="32"/>
        </w:rPr>
        <w:t>（八）负责全县基础教育、</w:t>
      </w:r>
      <w:r>
        <w:rPr>
          <w:rFonts w:hint="eastAsia" w:ascii="仿宋_GB2312" w:eastAsia="仿宋_GB2312"/>
          <w:sz w:val="32"/>
          <w:szCs w:val="32"/>
          <w:lang w:eastAsia="zh-CN"/>
        </w:rPr>
        <w:t>幼儿教育、</w:t>
      </w:r>
      <w:r>
        <w:rPr>
          <w:rFonts w:hint="eastAsia" w:ascii="仿宋_GB2312" w:eastAsia="仿宋_GB2312"/>
          <w:sz w:val="32"/>
          <w:szCs w:val="32"/>
        </w:rPr>
        <w:t>中等专业教育、成人教育、特殊教育的统筹规划、协调管理；审批和管理社会力量办学；负责全县教育信息的统计工作。</w:t>
      </w:r>
    </w:p>
    <w:p>
      <w:pPr>
        <w:keepNext w:val="0"/>
        <w:keepLines w:val="0"/>
        <w:pageBreakBefore w:val="0"/>
        <w:widowControl w:val="0"/>
        <w:kinsoku/>
        <w:wordWrap/>
        <w:overflowPunct/>
        <w:topLinePunct w:val="0"/>
        <w:bidi w:val="0"/>
        <w:snapToGrid/>
        <w:ind w:firstLine="640" w:firstLineChars="200"/>
        <w:textAlignment w:val="auto"/>
        <w:rPr>
          <w:rFonts w:hint="eastAsia" w:ascii="仿宋_GB2312" w:eastAsia="仿宋_GB2312"/>
          <w:sz w:val="32"/>
          <w:szCs w:val="32"/>
          <w:lang w:eastAsia="zh-CN"/>
        </w:rPr>
      </w:pPr>
      <w:r>
        <w:rPr>
          <w:rFonts w:hint="eastAsia" w:ascii="仿宋_GB2312" w:eastAsia="仿宋_GB2312"/>
          <w:sz w:val="32"/>
          <w:szCs w:val="32"/>
          <w:lang w:eastAsia="zh-CN"/>
        </w:rPr>
        <w:t>（九）负责全县教育体育安全管理工作。</w:t>
      </w:r>
    </w:p>
    <w:p>
      <w:pPr>
        <w:keepNext w:val="0"/>
        <w:keepLines w:val="0"/>
        <w:pageBreakBefore w:val="0"/>
        <w:widowControl w:val="0"/>
        <w:kinsoku/>
        <w:wordWrap/>
        <w:overflowPunct/>
        <w:topLinePunct w:val="0"/>
        <w:bidi w:val="0"/>
        <w:snapToGrid/>
        <w:ind w:firstLine="640" w:firstLineChars="200"/>
        <w:textAlignment w:val="auto"/>
        <w:rPr>
          <w:rFonts w:hint="eastAsia" w:ascii="仿宋_GB2312" w:eastAsia="仿宋_GB2312"/>
          <w:sz w:val="32"/>
          <w:szCs w:val="32"/>
        </w:rPr>
      </w:pPr>
      <w:r>
        <w:rPr>
          <w:rFonts w:hint="eastAsia" w:ascii="仿宋_GB2312" w:eastAsia="仿宋_GB2312"/>
          <w:sz w:val="32"/>
          <w:szCs w:val="32"/>
        </w:rPr>
        <w:t>（十）负责管理教育体育系统的科研、外事和信息化建设工作。</w:t>
      </w:r>
    </w:p>
    <w:p>
      <w:pPr>
        <w:keepNext w:val="0"/>
        <w:keepLines w:val="0"/>
        <w:pageBreakBefore w:val="0"/>
        <w:widowControl w:val="0"/>
        <w:kinsoku/>
        <w:wordWrap/>
        <w:overflowPunct/>
        <w:topLinePunct w:val="0"/>
        <w:bidi w:val="0"/>
        <w:snapToGrid/>
        <w:ind w:firstLine="640" w:firstLineChars="200"/>
        <w:textAlignment w:val="auto"/>
        <w:rPr>
          <w:rFonts w:hint="eastAsia" w:ascii="仿宋_GB2312" w:eastAsia="仿宋_GB2312"/>
          <w:sz w:val="32"/>
          <w:szCs w:val="32"/>
        </w:rPr>
      </w:pPr>
      <w:r>
        <w:rPr>
          <w:rFonts w:hint="eastAsia" w:ascii="仿宋_GB2312" w:eastAsia="仿宋_GB2312"/>
          <w:sz w:val="32"/>
          <w:szCs w:val="32"/>
        </w:rPr>
        <w:t>（十一）负责各级各类学校的基本建设、修缮和学校布点、增设、撤销等事项；组织落实图书资料、实验室、电教室的建设工作。</w:t>
      </w:r>
    </w:p>
    <w:p>
      <w:pPr>
        <w:keepNext w:val="0"/>
        <w:keepLines w:val="0"/>
        <w:pageBreakBefore w:val="0"/>
        <w:widowControl w:val="0"/>
        <w:kinsoku/>
        <w:wordWrap/>
        <w:overflowPunct/>
        <w:topLinePunct w:val="0"/>
        <w:bidi w:val="0"/>
        <w:snapToGrid/>
        <w:ind w:firstLine="640" w:firstLineChars="200"/>
        <w:textAlignment w:val="auto"/>
        <w:rPr>
          <w:rFonts w:hint="eastAsia" w:ascii="仿宋_GB2312" w:eastAsia="仿宋_GB2312"/>
          <w:sz w:val="32"/>
          <w:szCs w:val="32"/>
        </w:rPr>
      </w:pPr>
      <w:r>
        <w:rPr>
          <w:rFonts w:hint="eastAsia" w:ascii="仿宋_GB2312" w:eastAsia="仿宋_GB2312"/>
          <w:sz w:val="32"/>
          <w:szCs w:val="32"/>
        </w:rPr>
        <w:t>（十二）落实国家语言文字工作的方针政策</w:t>
      </w:r>
      <w:r>
        <w:rPr>
          <w:rFonts w:hint="eastAsia" w:ascii="仿宋_GB2312" w:eastAsia="仿宋_GB2312"/>
          <w:sz w:val="32"/>
          <w:szCs w:val="32"/>
          <w:lang w:eastAsia="zh-CN"/>
        </w:rPr>
        <w:t>，</w:t>
      </w:r>
      <w:r>
        <w:rPr>
          <w:rFonts w:hint="eastAsia" w:ascii="仿宋_GB2312" w:eastAsia="仿宋_GB2312"/>
          <w:sz w:val="32"/>
          <w:szCs w:val="32"/>
        </w:rPr>
        <w:t>负责普通话推广工作。</w:t>
      </w:r>
    </w:p>
    <w:p>
      <w:pPr>
        <w:keepNext w:val="0"/>
        <w:keepLines w:val="0"/>
        <w:pageBreakBefore w:val="0"/>
        <w:widowControl w:val="0"/>
        <w:kinsoku/>
        <w:wordWrap/>
        <w:overflowPunct/>
        <w:topLinePunct w:val="0"/>
        <w:bidi w:val="0"/>
        <w:snapToGrid/>
        <w:ind w:firstLine="640" w:firstLineChars="200"/>
        <w:textAlignment w:val="auto"/>
        <w:rPr>
          <w:rFonts w:hint="eastAsia" w:ascii="仿宋_GB2312" w:eastAsia="仿宋_GB2312"/>
          <w:sz w:val="32"/>
          <w:szCs w:val="32"/>
        </w:rPr>
      </w:pPr>
      <w:r>
        <w:rPr>
          <w:rFonts w:hint="eastAsia" w:ascii="仿宋_GB2312" w:eastAsia="仿宋_GB2312"/>
          <w:sz w:val="32"/>
          <w:szCs w:val="32"/>
        </w:rPr>
        <w:t>（十三）负责全县全民健身工作，指导并开展群众性体育活动；监督实施国家体育锻炼标准，组织开展国民体质监测；加强体育公共服务，促进多元化体育服务体系建设。</w:t>
      </w:r>
    </w:p>
    <w:p>
      <w:pPr>
        <w:keepNext w:val="0"/>
        <w:keepLines w:val="0"/>
        <w:pageBreakBefore w:val="0"/>
        <w:widowControl w:val="0"/>
        <w:kinsoku/>
        <w:wordWrap/>
        <w:overflowPunct/>
        <w:topLinePunct w:val="0"/>
        <w:bidi w:val="0"/>
        <w:snapToGrid/>
        <w:ind w:firstLine="640" w:firstLineChars="200"/>
        <w:textAlignment w:val="auto"/>
        <w:rPr>
          <w:rFonts w:hint="eastAsia" w:ascii="仿宋_GB2312" w:eastAsia="仿宋_GB2312"/>
          <w:sz w:val="32"/>
          <w:szCs w:val="32"/>
        </w:rPr>
      </w:pPr>
      <w:r>
        <w:rPr>
          <w:rFonts w:hint="eastAsia" w:ascii="仿宋_GB2312" w:eastAsia="仿宋_GB2312"/>
          <w:sz w:val="32"/>
          <w:szCs w:val="32"/>
        </w:rPr>
        <w:t>（十四）指导全县体育业余训练工作，组织参加省、市及以上重大体育比赛；统筹规划</w:t>
      </w:r>
      <w:r>
        <w:rPr>
          <w:rFonts w:hint="eastAsia" w:ascii="仿宋_GB2312" w:eastAsia="仿宋_GB2312"/>
          <w:sz w:val="32"/>
          <w:szCs w:val="32"/>
          <w:lang w:eastAsia="zh-CN"/>
        </w:rPr>
        <w:t>竞技</w:t>
      </w:r>
      <w:r>
        <w:rPr>
          <w:rFonts w:hint="eastAsia" w:ascii="仿宋_GB2312" w:eastAsia="仿宋_GB2312"/>
          <w:sz w:val="32"/>
          <w:szCs w:val="32"/>
        </w:rPr>
        <w:t>体育发展工作；指导和推进青少年体育工作。</w:t>
      </w:r>
    </w:p>
    <w:p>
      <w:pPr>
        <w:keepNext w:val="0"/>
        <w:keepLines w:val="0"/>
        <w:pageBreakBefore w:val="0"/>
        <w:widowControl w:val="0"/>
        <w:kinsoku/>
        <w:wordWrap/>
        <w:overflowPunct/>
        <w:topLinePunct w:val="0"/>
        <w:bidi w:val="0"/>
        <w:snapToGrid/>
        <w:ind w:firstLine="640" w:firstLineChars="200"/>
        <w:textAlignment w:val="auto"/>
        <w:rPr>
          <w:rFonts w:hint="eastAsia" w:ascii="仿宋_GB2312" w:eastAsia="仿宋_GB2312"/>
          <w:sz w:val="32"/>
          <w:szCs w:val="32"/>
        </w:rPr>
      </w:pPr>
      <w:r>
        <w:rPr>
          <w:rFonts w:hint="eastAsia" w:ascii="仿宋_GB2312" w:eastAsia="仿宋_GB2312"/>
          <w:sz w:val="32"/>
          <w:szCs w:val="32"/>
        </w:rPr>
        <w:t>（十五）培育、发展体育产业，研究制定体育产业和经营活动的政策，归口管理体育市场；组织实施体育行业职业技能鉴定工作；依法开展体育经营活动的管理和监督工作；规范体育彩票公益金的使用工作。</w:t>
      </w:r>
    </w:p>
    <w:p>
      <w:pPr>
        <w:widowControl/>
        <w:ind w:firstLine="640" w:firstLineChars="200"/>
        <w:jc w:val="left"/>
        <w:outlineLvl w:val="1"/>
        <w:rPr>
          <w:rFonts w:hint="eastAsia" w:ascii="仿宋_GB2312" w:eastAsia="仿宋_GB2312"/>
          <w:sz w:val="32"/>
          <w:szCs w:val="32"/>
        </w:rPr>
      </w:pPr>
      <w:r>
        <w:rPr>
          <w:rFonts w:hint="eastAsia" w:ascii="仿宋_GB2312" w:eastAsia="仿宋_GB2312"/>
          <w:sz w:val="32"/>
          <w:szCs w:val="32"/>
        </w:rPr>
        <w:t>（十</w:t>
      </w:r>
      <w:r>
        <w:rPr>
          <w:rFonts w:hint="eastAsia" w:ascii="仿宋_GB2312" w:eastAsia="仿宋_GB2312"/>
          <w:sz w:val="32"/>
          <w:szCs w:val="32"/>
          <w:lang w:eastAsia="zh-CN"/>
        </w:rPr>
        <w:t>六</w:t>
      </w:r>
      <w:r>
        <w:rPr>
          <w:rFonts w:hint="eastAsia" w:ascii="仿宋_GB2312" w:eastAsia="仿宋_GB2312"/>
          <w:sz w:val="32"/>
          <w:szCs w:val="32"/>
        </w:rPr>
        <w:t>）完成县委、县政府交办的其他事项。</w:t>
      </w:r>
    </w:p>
    <w:p>
      <w:pPr>
        <w:widowControl/>
        <w:ind w:firstLine="640" w:firstLineChars="200"/>
        <w:jc w:val="left"/>
        <w:outlineLvl w:val="1"/>
        <w:rPr>
          <w:rFonts w:hint="eastAsia" w:ascii="黑体" w:hAnsi="黑体" w:eastAsia="黑体" w:cs="黑体"/>
          <w:color w:val="auto"/>
          <w:kern w:val="0"/>
          <w:sz w:val="32"/>
          <w:szCs w:val="32"/>
          <w:highlight w:val="none"/>
          <w:lang w:val="en-US" w:eastAsia="zh-CN"/>
        </w:rPr>
      </w:pPr>
      <w:r>
        <w:rPr>
          <w:rFonts w:hint="eastAsia" w:ascii="黑体" w:hAnsi="黑体" w:eastAsia="黑体" w:cs="黑体"/>
          <w:color w:val="auto"/>
          <w:kern w:val="0"/>
          <w:sz w:val="32"/>
          <w:szCs w:val="32"/>
          <w:highlight w:val="none"/>
          <w:lang w:val="en-US" w:eastAsia="zh-CN"/>
        </w:rPr>
        <w:t>二、机构设置</w:t>
      </w:r>
    </w:p>
    <w:p>
      <w:pPr>
        <w:keepNext w:val="0"/>
        <w:keepLines w:val="0"/>
        <w:pageBreakBefore w:val="0"/>
        <w:widowControl w:val="0"/>
        <w:kinsoku/>
        <w:wordWrap/>
        <w:overflowPunct/>
        <w:topLinePunct w:val="0"/>
        <w:bidi w:val="0"/>
        <w:snapToGrid/>
        <w:ind w:firstLine="640" w:firstLineChars="200"/>
        <w:textAlignment w:val="auto"/>
        <w:rPr>
          <w:rFonts w:hint="eastAsia" w:ascii="仿宋_GB2312" w:eastAsia="仿宋_GB2312"/>
          <w:b w:val="0"/>
          <w:bCs w:val="0"/>
          <w:sz w:val="32"/>
          <w:szCs w:val="32"/>
          <w:lang w:eastAsia="zh-CN"/>
        </w:rPr>
      </w:pPr>
      <w:r>
        <w:rPr>
          <w:rFonts w:hint="eastAsia" w:ascii="仿宋_GB2312" w:eastAsia="仿宋_GB2312"/>
          <w:b w:val="0"/>
          <w:bCs w:val="0"/>
          <w:sz w:val="32"/>
          <w:szCs w:val="32"/>
          <w:lang w:eastAsia="zh-CN"/>
        </w:rPr>
        <w:t>栾川</w:t>
      </w:r>
      <w:r>
        <w:rPr>
          <w:rFonts w:hint="eastAsia" w:ascii="仿宋_GB2312" w:eastAsia="仿宋_GB2312"/>
          <w:b w:val="0"/>
          <w:bCs w:val="0"/>
          <w:sz w:val="32"/>
          <w:szCs w:val="32"/>
        </w:rPr>
        <w:t>县教育体育局设下列内设机构</w:t>
      </w:r>
      <w:r>
        <w:rPr>
          <w:rFonts w:hint="eastAsia" w:ascii="仿宋_GB2312" w:eastAsia="仿宋_GB2312"/>
          <w:b w:val="0"/>
          <w:bCs w:val="0"/>
          <w:sz w:val="32"/>
          <w:szCs w:val="32"/>
          <w:lang w:eastAsia="zh-CN"/>
        </w:rPr>
        <w:t>：</w:t>
      </w:r>
      <w:r>
        <w:rPr>
          <w:rFonts w:hint="eastAsia" w:ascii="仿宋_GB2312" w:hAnsi="仿宋_GB2312" w:eastAsia="仿宋_GB2312" w:cs="仿宋_GB2312"/>
          <w:b w:val="0"/>
          <w:bCs w:val="0"/>
          <w:color w:val="auto"/>
          <w:kern w:val="0"/>
          <w:sz w:val="32"/>
          <w:szCs w:val="32"/>
          <w:highlight w:val="none"/>
          <w:lang w:val="en-US" w:eastAsia="zh-CN"/>
        </w:rPr>
        <w:t>包括：</w:t>
      </w:r>
      <w:r>
        <w:rPr>
          <w:rFonts w:hint="eastAsia" w:ascii="仿宋_GB2312" w:eastAsia="仿宋_GB2312"/>
          <w:b w:val="0"/>
          <w:bCs w:val="0"/>
          <w:sz w:val="32"/>
          <w:szCs w:val="32"/>
          <w:lang w:val="en-US" w:eastAsia="zh-CN"/>
        </w:rPr>
        <w:t>办公室（机关党建办公室）、</w:t>
      </w:r>
      <w:r>
        <w:rPr>
          <w:rFonts w:hint="eastAsia" w:ascii="仿宋_GB2312" w:eastAsia="仿宋_GB2312"/>
          <w:b w:val="0"/>
          <w:bCs w:val="0"/>
          <w:sz w:val="32"/>
          <w:szCs w:val="32"/>
          <w:lang w:eastAsia="zh-CN"/>
        </w:rPr>
        <w:t>县委教育工作领导小组秘书组办公室、</w:t>
      </w:r>
      <w:r>
        <w:rPr>
          <w:rFonts w:hint="eastAsia" w:ascii="仿宋_GB2312" w:eastAsia="仿宋_GB2312"/>
          <w:b w:val="0"/>
          <w:bCs w:val="0"/>
          <w:sz w:val="32"/>
          <w:szCs w:val="32"/>
          <w:lang w:val="en-US" w:eastAsia="zh-CN"/>
        </w:rPr>
        <w:t>计划财务股、</w:t>
      </w:r>
      <w:r>
        <w:rPr>
          <w:rFonts w:hint="eastAsia" w:ascii="仿宋_GB2312" w:eastAsia="仿宋_GB2312"/>
          <w:b w:val="0"/>
          <w:bCs w:val="0"/>
          <w:sz w:val="32"/>
          <w:szCs w:val="32"/>
          <w:lang w:eastAsia="zh-CN"/>
        </w:rPr>
        <w:t>综合业务股。</w:t>
      </w:r>
    </w:p>
    <w:p>
      <w:pPr>
        <w:keepNext w:val="0"/>
        <w:keepLines w:val="0"/>
        <w:pageBreakBefore w:val="0"/>
        <w:widowControl w:val="0"/>
        <w:kinsoku/>
        <w:wordWrap/>
        <w:overflowPunct/>
        <w:topLinePunct w:val="0"/>
        <w:bidi w:val="0"/>
        <w:snapToGrid/>
        <w:ind w:firstLine="640" w:firstLineChars="200"/>
        <w:textAlignment w:val="auto"/>
        <w:rPr>
          <w:rFonts w:hint="eastAsia" w:ascii="仿宋_GB2312" w:hAnsi="仿宋_GB2312" w:eastAsia="仿宋_GB2312" w:cs="仿宋_GB2312"/>
          <w:b w:val="0"/>
          <w:bCs w:val="0"/>
          <w:color w:val="auto"/>
          <w:kern w:val="0"/>
          <w:sz w:val="32"/>
          <w:szCs w:val="32"/>
          <w:highlight w:val="none"/>
          <w:lang w:val="en-US" w:eastAsia="zh-CN"/>
        </w:rPr>
      </w:pPr>
      <w:r>
        <w:rPr>
          <w:rFonts w:hint="eastAsia" w:ascii="仿宋_GB2312" w:hAnsi="仿宋_GB2312" w:eastAsia="仿宋_GB2312" w:cs="仿宋_GB2312"/>
          <w:b w:val="0"/>
          <w:bCs w:val="0"/>
          <w:color w:val="auto"/>
          <w:kern w:val="0"/>
          <w:sz w:val="32"/>
          <w:szCs w:val="32"/>
          <w:highlight w:val="none"/>
          <w:lang w:val="en-US" w:eastAsia="zh-CN"/>
        </w:rPr>
        <w:t>从决算单位构成看，栾川县教育体育局部门决算包括：本级决算、所属单位决算，此公开为汇总决算。</w:t>
      </w:r>
    </w:p>
    <w:p>
      <w:pPr>
        <w:widowControl/>
        <w:ind w:firstLine="640" w:firstLineChars="200"/>
        <w:jc w:val="left"/>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b w:val="0"/>
          <w:bCs w:val="0"/>
          <w:color w:val="auto"/>
          <w:kern w:val="0"/>
          <w:sz w:val="32"/>
          <w:szCs w:val="32"/>
          <w:highlight w:val="none"/>
          <w:lang w:val="en-US" w:eastAsia="zh-CN"/>
        </w:rPr>
        <w:t>2019年度，栾川县教育体育</w:t>
      </w:r>
      <w:r>
        <w:rPr>
          <w:rFonts w:hint="eastAsia" w:ascii="仿宋_GB2312" w:hAnsi="仿宋_GB2312" w:eastAsia="仿宋_GB2312" w:cs="仿宋_GB2312"/>
          <w:color w:val="auto"/>
          <w:kern w:val="0"/>
          <w:sz w:val="32"/>
          <w:szCs w:val="32"/>
          <w:highlight w:val="none"/>
          <w:lang w:val="en-US" w:eastAsia="zh-CN"/>
        </w:rPr>
        <w:t>局纳入本部门2019年度部门决算编制范围的单位共29个，其中二级预算单位28个，具体如下：</w:t>
      </w:r>
    </w:p>
    <w:p>
      <w:pPr>
        <w:widowControl/>
        <w:ind w:firstLine="640" w:firstLineChars="200"/>
        <w:jc w:val="left"/>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1.栾川县教育体育局本级</w:t>
      </w:r>
    </w:p>
    <w:p>
      <w:pPr>
        <w:widowControl/>
        <w:ind w:firstLine="640" w:firstLineChars="200"/>
        <w:jc w:val="left"/>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2.栾川县第一高级中学</w:t>
      </w:r>
    </w:p>
    <w:p>
      <w:pPr>
        <w:widowControl/>
        <w:ind w:firstLine="640" w:firstLineChars="200"/>
        <w:jc w:val="left"/>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3.栾川县第二高级中学</w:t>
      </w:r>
    </w:p>
    <w:p>
      <w:pPr>
        <w:widowControl/>
        <w:ind w:firstLine="640" w:firstLineChars="200"/>
        <w:jc w:val="left"/>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4.栾川县实验高中</w:t>
      </w:r>
    </w:p>
    <w:p>
      <w:pPr>
        <w:widowControl/>
        <w:ind w:firstLine="640" w:firstLineChars="200"/>
        <w:jc w:val="left"/>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5.栾川县中等职业学校</w:t>
      </w:r>
    </w:p>
    <w:p>
      <w:pPr>
        <w:widowControl/>
        <w:ind w:firstLine="640" w:firstLineChars="200"/>
        <w:jc w:val="left"/>
        <w:rPr>
          <w:rFonts w:hint="default"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6.栾川县特殊教育学校</w:t>
      </w:r>
    </w:p>
    <w:p>
      <w:pPr>
        <w:widowControl/>
        <w:ind w:firstLine="640" w:firstLineChars="200"/>
        <w:jc w:val="left"/>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7.栾川县实验中学</w:t>
      </w:r>
    </w:p>
    <w:p>
      <w:pPr>
        <w:widowControl/>
        <w:ind w:firstLine="640" w:firstLineChars="200"/>
        <w:jc w:val="left"/>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8.栾川县第一实验小学</w:t>
      </w:r>
    </w:p>
    <w:p>
      <w:pPr>
        <w:widowControl/>
        <w:ind w:firstLine="640" w:firstLineChars="200"/>
        <w:jc w:val="left"/>
        <w:rPr>
          <w:rFonts w:hint="default"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9.栾川县第二实验小学</w:t>
      </w:r>
    </w:p>
    <w:p>
      <w:pPr>
        <w:widowControl/>
        <w:ind w:firstLine="640" w:firstLineChars="200"/>
        <w:jc w:val="left"/>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10.栾川县第三实验小学</w:t>
      </w:r>
    </w:p>
    <w:p>
      <w:pPr>
        <w:widowControl/>
        <w:ind w:firstLine="640" w:firstLineChars="200"/>
        <w:jc w:val="left"/>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11.栾川县第五实验小学</w:t>
      </w:r>
    </w:p>
    <w:p>
      <w:pPr>
        <w:widowControl/>
        <w:ind w:firstLine="640" w:firstLineChars="200"/>
        <w:jc w:val="left"/>
        <w:rPr>
          <w:rFonts w:hint="default"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12.栾川县第一实验幼儿园</w:t>
      </w:r>
    </w:p>
    <w:p>
      <w:pPr>
        <w:widowControl/>
        <w:ind w:firstLine="640" w:firstLineChars="200"/>
        <w:jc w:val="left"/>
        <w:rPr>
          <w:rFonts w:hint="default"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13.栾川县第二实验幼儿园</w:t>
      </w:r>
    </w:p>
    <w:p>
      <w:pPr>
        <w:widowControl/>
        <w:ind w:firstLine="640" w:firstLineChars="200"/>
        <w:jc w:val="left"/>
        <w:rPr>
          <w:rFonts w:hint="default"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14.栾川县栾川乡中心学校</w:t>
      </w:r>
    </w:p>
    <w:p>
      <w:pPr>
        <w:widowControl/>
        <w:ind w:firstLine="640" w:firstLineChars="200"/>
        <w:jc w:val="left"/>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15.栾川县庙子镇中心学校</w:t>
      </w:r>
    </w:p>
    <w:p>
      <w:pPr>
        <w:widowControl/>
        <w:ind w:firstLine="640" w:firstLineChars="200"/>
        <w:jc w:val="left"/>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16.栾川县合峪镇中心学校</w:t>
      </w:r>
    </w:p>
    <w:p>
      <w:pPr>
        <w:widowControl/>
        <w:ind w:firstLine="640" w:firstLineChars="200"/>
        <w:jc w:val="left"/>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17.栾川县庙子镇大青沟初级中学</w:t>
      </w:r>
    </w:p>
    <w:p>
      <w:pPr>
        <w:widowControl/>
        <w:ind w:firstLine="640" w:firstLineChars="200"/>
        <w:jc w:val="left"/>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18.栾川县潭头镇中心学校</w:t>
      </w:r>
    </w:p>
    <w:p>
      <w:pPr>
        <w:widowControl/>
        <w:ind w:firstLine="640" w:firstLineChars="200"/>
        <w:jc w:val="left"/>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19.栾川县秋扒乡中心学校</w:t>
      </w:r>
    </w:p>
    <w:p>
      <w:pPr>
        <w:widowControl/>
        <w:ind w:firstLine="640" w:firstLineChars="200"/>
        <w:jc w:val="left"/>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20.栾川县狮子庙镇中心学校</w:t>
      </w:r>
    </w:p>
    <w:p>
      <w:pPr>
        <w:widowControl/>
        <w:ind w:firstLine="640" w:firstLineChars="200"/>
        <w:jc w:val="left"/>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21.栾川县白土镇中心学校</w:t>
      </w:r>
    </w:p>
    <w:p>
      <w:pPr>
        <w:widowControl/>
        <w:ind w:firstLine="640" w:firstLineChars="200"/>
        <w:jc w:val="left"/>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22.栾川县冷水镇中心学校</w:t>
      </w:r>
    </w:p>
    <w:p>
      <w:pPr>
        <w:widowControl/>
        <w:ind w:firstLine="640" w:firstLineChars="200"/>
        <w:jc w:val="left"/>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23.栾川县三川镇中心学校</w:t>
      </w:r>
    </w:p>
    <w:p>
      <w:pPr>
        <w:widowControl/>
        <w:ind w:firstLine="640" w:firstLineChars="200"/>
        <w:jc w:val="left"/>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24.栾川县叫河镇中心学校</w:t>
      </w:r>
    </w:p>
    <w:p>
      <w:pPr>
        <w:widowControl/>
        <w:ind w:firstLine="640" w:firstLineChars="200"/>
        <w:jc w:val="left"/>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25.栾川县陶湾镇中心学校</w:t>
      </w:r>
    </w:p>
    <w:p>
      <w:pPr>
        <w:widowControl/>
        <w:ind w:firstLine="640" w:firstLineChars="200"/>
        <w:jc w:val="left"/>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26.栾川县石庙镇中心学校</w:t>
      </w:r>
    </w:p>
    <w:p>
      <w:pPr>
        <w:widowControl/>
        <w:ind w:firstLine="640" w:firstLineChars="200"/>
        <w:jc w:val="left"/>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27.栾川县赤土店镇中心学校</w:t>
      </w:r>
    </w:p>
    <w:p>
      <w:pPr>
        <w:widowControl/>
        <w:ind w:firstLine="640" w:firstLineChars="200"/>
        <w:jc w:val="left"/>
        <w:rPr>
          <w:rFonts w:hint="default"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28.栾川县城关镇中心学校</w:t>
      </w:r>
    </w:p>
    <w:p>
      <w:pPr>
        <w:widowControl/>
        <w:ind w:firstLine="640" w:firstLineChars="200"/>
        <w:jc w:val="left"/>
        <w:rPr>
          <w:rFonts w:hint="eastAsia" w:ascii="黑体" w:hAnsi="宋体" w:eastAsia="黑体" w:cs="宋体"/>
          <w:color w:val="auto"/>
          <w:kern w:val="0"/>
          <w:sz w:val="28"/>
          <w:szCs w:val="28"/>
          <w:highlight w:val="none"/>
          <w:lang w:val="en-US" w:eastAsia="zh-CN"/>
        </w:rPr>
      </w:pPr>
      <w:r>
        <w:rPr>
          <w:rFonts w:hint="eastAsia" w:ascii="仿宋_GB2312" w:hAnsi="仿宋_GB2312" w:eastAsia="仿宋_GB2312" w:cs="仿宋_GB2312"/>
          <w:color w:val="auto"/>
          <w:kern w:val="0"/>
          <w:sz w:val="32"/>
          <w:szCs w:val="32"/>
          <w:highlight w:val="none"/>
          <w:lang w:val="en-US" w:eastAsia="zh-CN"/>
        </w:rPr>
        <w:t>29.栾川县普通教研室</w:t>
      </w:r>
    </w:p>
    <w:p>
      <w:pPr>
        <w:widowControl/>
        <w:jc w:val="left"/>
        <w:rPr>
          <w:rFonts w:hint="eastAsia" w:ascii="黑体" w:hAnsi="宋体" w:eastAsia="黑体" w:cs="宋体"/>
          <w:kern w:val="0"/>
          <w:sz w:val="28"/>
          <w:szCs w:val="28"/>
        </w:rPr>
      </w:pPr>
    </w:p>
    <w:p>
      <w:pPr>
        <w:widowControl/>
        <w:jc w:val="left"/>
        <w:rPr>
          <w:rFonts w:hint="eastAsia" w:ascii="黑体" w:hAnsi="宋体" w:eastAsia="黑体" w:cs="宋体"/>
          <w:kern w:val="0"/>
          <w:sz w:val="28"/>
          <w:szCs w:val="28"/>
        </w:rPr>
      </w:pPr>
    </w:p>
    <w:p>
      <w:pPr>
        <w:widowControl/>
        <w:jc w:val="left"/>
        <w:rPr>
          <w:rFonts w:hint="eastAsia" w:ascii="黑体" w:hAnsi="宋体" w:eastAsia="黑体" w:cs="宋体"/>
          <w:kern w:val="0"/>
          <w:sz w:val="28"/>
          <w:szCs w:val="28"/>
        </w:rPr>
      </w:pPr>
    </w:p>
    <w:p>
      <w:pPr>
        <w:widowControl/>
        <w:jc w:val="left"/>
        <w:rPr>
          <w:rFonts w:hint="eastAsia" w:ascii="黑体" w:hAnsi="宋体" w:eastAsia="黑体" w:cs="宋体"/>
          <w:kern w:val="0"/>
          <w:sz w:val="28"/>
          <w:szCs w:val="28"/>
        </w:rPr>
      </w:pPr>
    </w:p>
    <w:p>
      <w:pPr>
        <w:widowControl/>
        <w:jc w:val="left"/>
        <w:rPr>
          <w:rFonts w:hint="eastAsia" w:ascii="黑体" w:hAnsi="宋体" w:eastAsia="黑体" w:cs="宋体"/>
          <w:kern w:val="0"/>
          <w:sz w:val="28"/>
          <w:szCs w:val="28"/>
        </w:rPr>
      </w:pPr>
    </w:p>
    <w:p>
      <w:pPr>
        <w:widowControl/>
        <w:jc w:val="left"/>
        <w:rPr>
          <w:rFonts w:hint="eastAsia" w:ascii="黑体" w:hAnsi="宋体" w:eastAsia="黑体" w:cs="宋体"/>
          <w:kern w:val="0"/>
          <w:sz w:val="28"/>
          <w:szCs w:val="28"/>
        </w:rPr>
      </w:pPr>
    </w:p>
    <w:p>
      <w:pPr>
        <w:widowControl/>
        <w:jc w:val="left"/>
        <w:rPr>
          <w:rFonts w:hint="eastAsia" w:ascii="黑体" w:hAnsi="宋体" w:eastAsia="黑体" w:cs="宋体"/>
          <w:kern w:val="0"/>
          <w:sz w:val="28"/>
          <w:szCs w:val="28"/>
        </w:rPr>
      </w:pPr>
    </w:p>
    <w:p>
      <w:pPr>
        <w:widowControl/>
        <w:jc w:val="left"/>
        <w:rPr>
          <w:rFonts w:hint="eastAsia" w:ascii="黑体" w:hAnsi="宋体" w:eastAsia="黑体" w:cs="宋体"/>
          <w:kern w:val="0"/>
          <w:sz w:val="28"/>
          <w:szCs w:val="28"/>
        </w:rPr>
      </w:pPr>
    </w:p>
    <w:p>
      <w:pPr>
        <w:widowControl/>
        <w:jc w:val="left"/>
        <w:rPr>
          <w:rFonts w:hint="eastAsia" w:ascii="黑体" w:hAnsi="宋体" w:eastAsia="黑体" w:cs="宋体"/>
          <w:kern w:val="0"/>
          <w:sz w:val="28"/>
          <w:szCs w:val="28"/>
        </w:rPr>
      </w:pPr>
    </w:p>
    <w:p>
      <w:pPr>
        <w:widowControl/>
        <w:jc w:val="left"/>
        <w:rPr>
          <w:rFonts w:hint="eastAsia" w:ascii="黑体" w:hAnsi="宋体" w:eastAsia="黑体" w:cs="宋体"/>
          <w:kern w:val="0"/>
          <w:sz w:val="28"/>
          <w:szCs w:val="28"/>
        </w:rPr>
      </w:pPr>
    </w:p>
    <w:p>
      <w:pPr>
        <w:widowControl/>
        <w:jc w:val="left"/>
        <w:rPr>
          <w:rFonts w:hint="eastAsia" w:ascii="黑体" w:hAnsi="宋体" w:eastAsia="黑体" w:cs="宋体"/>
          <w:kern w:val="0"/>
          <w:sz w:val="28"/>
          <w:szCs w:val="28"/>
        </w:rPr>
      </w:pPr>
    </w:p>
    <w:p>
      <w:pPr>
        <w:widowControl/>
        <w:jc w:val="left"/>
        <w:rPr>
          <w:rFonts w:hint="eastAsia" w:ascii="黑体" w:hAnsi="宋体" w:eastAsia="黑体" w:cs="宋体"/>
          <w:kern w:val="0"/>
          <w:sz w:val="28"/>
          <w:szCs w:val="28"/>
        </w:rPr>
      </w:pPr>
    </w:p>
    <w:p>
      <w:pPr>
        <w:widowControl/>
        <w:jc w:val="left"/>
        <w:rPr>
          <w:rFonts w:hint="eastAsia" w:ascii="黑体" w:hAnsi="宋体" w:eastAsia="黑体" w:cs="宋体"/>
          <w:kern w:val="0"/>
          <w:sz w:val="28"/>
          <w:szCs w:val="28"/>
        </w:rPr>
      </w:pPr>
    </w:p>
    <w:p>
      <w:pPr>
        <w:widowControl/>
        <w:jc w:val="left"/>
        <w:rPr>
          <w:rFonts w:hint="eastAsia" w:ascii="黑体" w:hAnsi="宋体" w:eastAsia="黑体" w:cs="宋体"/>
          <w:kern w:val="0"/>
          <w:sz w:val="28"/>
          <w:szCs w:val="28"/>
        </w:rPr>
      </w:pPr>
    </w:p>
    <w:p>
      <w:pPr>
        <w:widowControl/>
        <w:jc w:val="left"/>
        <w:rPr>
          <w:rFonts w:hint="eastAsia" w:ascii="黑体" w:hAnsi="宋体" w:eastAsia="黑体" w:cs="宋体"/>
          <w:kern w:val="0"/>
          <w:sz w:val="28"/>
          <w:szCs w:val="28"/>
        </w:rPr>
      </w:pPr>
    </w:p>
    <w:p>
      <w:pPr>
        <w:widowControl/>
        <w:jc w:val="left"/>
        <w:rPr>
          <w:rFonts w:hint="eastAsia" w:ascii="黑体" w:hAnsi="宋体" w:eastAsia="黑体" w:cs="宋体"/>
          <w:kern w:val="0"/>
          <w:sz w:val="28"/>
          <w:szCs w:val="28"/>
        </w:rPr>
      </w:pPr>
    </w:p>
    <w:p>
      <w:pPr>
        <w:widowControl/>
        <w:jc w:val="left"/>
        <w:rPr>
          <w:rFonts w:hint="eastAsia" w:ascii="黑体" w:hAnsi="宋体" w:eastAsia="黑体" w:cs="宋体"/>
          <w:kern w:val="0"/>
          <w:sz w:val="28"/>
          <w:szCs w:val="28"/>
        </w:rPr>
      </w:pPr>
    </w:p>
    <w:p>
      <w:pPr>
        <w:widowControl/>
        <w:jc w:val="left"/>
        <w:rPr>
          <w:rFonts w:hint="eastAsia" w:ascii="黑体" w:hAnsi="宋体" w:eastAsia="黑体" w:cs="宋体"/>
          <w:kern w:val="0"/>
          <w:sz w:val="28"/>
          <w:szCs w:val="28"/>
        </w:rPr>
      </w:pPr>
    </w:p>
    <w:p>
      <w:pPr>
        <w:widowControl/>
        <w:jc w:val="left"/>
        <w:rPr>
          <w:rFonts w:hint="eastAsia" w:ascii="黑体" w:hAnsi="宋体" w:eastAsia="黑体" w:cs="宋体"/>
          <w:kern w:val="0"/>
          <w:sz w:val="28"/>
          <w:szCs w:val="28"/>
        </w:rPr>
      </w:pPr>
    </w:p>
    <w:p>
      <w:pPr>
        <w:widowControl/>
        <w:jc w:val="left"/>
        <w:rPr>
          <w:rFonts w:hint="eastAsia" w:ascii="黑体" w:hAnsi="宋体" w:eastAsia="黑体" w:cs="宋体"/>
          <w:kern w:val="0"/>
          <w:sz w:val="28"/>
          <w:szCs w:val="28"/>
        </w:rPr>
      </w:pPr>
    </w:p>
    <w:p>
      <w:pPr>
        <w:widowControl/>
        <w:jc w:val="left"/>
        <w:rPr>
          <w:rFonts w:hint="eastAsia" w:ascii="黑体" w:hAnsi="宋体" w:eastAsia="黑体" w:cs="宋体"/>
          <w:kern w:val="0"/>
          <w:sz w:val="28"/>
          <w:szCs w:val="28"/>
        </w:rPr>
      </w:pPr>
    </w:p>
    <w:p>
      <w:pPr>
        <w:widowControl/>
        <w:jc w:val="left"/>
        <w:rPr>
          <w:rFonts w:hint="eastAsia" w:ascii="黑体" w:hAnsi="宋体" w:eastAsia="黑体" w:cs="宋体"/>
          <w:kern w:val="0"/>
          <w:sz w:val="28"/>
          <w:szCs w:val="28"/>
        </w:rPr>
      </w:pPr>
    </w:p>
    <w:p>
      <w:pPr>
        <w:widowControl/>
        <w:jc w:val="left"/>
        <w:rPr>
          <w:rFonts w:hint="eastAsia" w:ascii="黑体" w:hAnsi="宋体" w:eastAsia="黑体" w:cs="宋体"/>
          <w:kern w:val="0"/>
          <w:sz w:val="28"/>
          <w:szCs w:val="28"/>
        </w:rPr>
      </w:pPr>
    </w:p>
    <w:p>
      <w:pPr>
        <w:widowControl/>
        <w:jc w:val="left"/>
        <w:rPr>
          <w:rFonts w:hint="eastAsia" w:ascii="黑体" w:hAnsi="宋体" w:eastAsia="黑体" w:cs="宋体"/>
          <w:kern w:val="0"/>
          <w:sz w:val="28"/>
          <w:szCs w:val="28"/>
        </w:rPr>
      </w:pPr>
    </w:p>
    <w:p>
      <w:pPr>
        <w:widowControl/>
        <w:jc w:val="left"/>
        <w:rPr>
          <w:rFonts w:hint="eastAsia" w:ascii="黑体" w:hAnsi="宋体" w:eastAsia="黑体" w:cs="宋体"/>
          <w:kern w:val="0"/>
          <w:sz w:val="28"/>
          <w:szCs w:val="28"/>
        </w:rPr>
      </w:pPr>
    </w:p>
    <w:p>
      <w:pPr>
        <w:widowControl/>
        <w:jc w:val="left"/>
        <w:rPr>
          <w:rFonts w:hint="eastAsia" w:ascii="黑体" w:hAnsi="宋体" w:eastAsia="黑体" w:cs="宋体"/>
          <w:kern w:val="0"/>
          <w:sz w:val="28"/>
          <w:szCs w:val="28"/>
        </w:rPr>
      </w:pPr>
    </w:p>
    <w:p>
      <w:pPr>
        <w:widowControl/>
        <w:jc w:val="left"/>
        <w:rPr>
          <w:rFonts w:hint="eastAsia" w:ascii="黑体" w:hAnsi="宋体" w:eastAsia="黑体" w:cs="宋体"/>
          <w:kern w:val="0"/>
          <w:sz w:val="28"/>
          <w:szCs w:val="28"/>
        </w:rPr>
      </w:pPr>
    </w:p>
    <w:p>
      <w:pPr>
        <w:widowControl/>
        <w:jc w:val="left"/>
        <w:rPr>
          <w:rFonts w:hint="eastAsia" w:ascii="黑体" w:hAnsi="宋体" w:eastAsia="黑体" w:cs="宋体"/>
          <w:kern w:val="0"/>
          <w:sz w:val="28"/>
          <w:szCs w:val="28"/>
        </w:rPr>
      </w:pPr>
    </w:p>
    <w:p>
      <w:pPr>
        <w:widowControl/>
        <w:jc w:val="left"/>
        <w:rPr>
          <w:rFonts w:hint="eastAsia" w:ascii="黑体" w:hAnsi="宋体" w:eastAsia="黑体" w:cs="宋体"/>
          <w:kern w:val="0"/>
          <w:sz w:val="28"/>
          <w:szCs w:val="28"/>
        </w:rPr>
      </w:pPr>
    </w:p>
    <w:p>
      <w:pPr>
        <w:jc w:val="center"/>
        <w:outlineLvl w:val="0"/>
        <w:rPr>
          <w:rFonts w:hint="eastAsia" w:ascii="黑体" w:hAnsi="黑体" w:eastAsia="黑体" w:cs="黑体"/>
          <w:sz w:val="48"/>
          <w:szCs w:val="48"/>
        </w:rPr>
      </w:pPr>
      <w:r>
        <w:rPr>
          <w:rFonts w:hint="eastAsia" w:ascii="黑体" w:hAnsi="黑体" w:eastAsia="黑体" w:cs="黑体"/>
          <w:sz w:val="48"/>
          <w:szCs w:val="48"/>
        </w:rPr>
        <w:t>第二部分  2019年度部门决算表</w:t>
      </w:r>
    </w:p>
    <w:p>
      <w:pPr>
        <w:widowControl/>
        <w:jc w:val="left"/>
        <w:rPr>
          <w:rFonts w:hint="eastAsia" w:ascii="黑体" w:hAnsi="宋体" w:eastAsia="黑体" w:cs="宋体"/>
          <w:kern w:val="0"/>
          <w:sz w:val="28"/>
          <w:szCs w:val="28"/>
        </w:rPr>
      </w:pPr>
    </w:p>
    <w:p>
      <w:pPr>
        <w:widowControl/>
        <w:jc w:val="left"/>
        <w:rPr>
          <w:rFonts w:hint="eastAsia" w:ascii="黑体" w:hAnsi="宋体" w:eastAsia="黑体" w:cs="宋体"/>
          <w:kern w:val="0"/>
          <w:sz w:val="28"/>
          <w:szCs w:val="28"/>
        </w:rPr>
        <w:sectPr>
          <w:pgSz w:w="11906" w:h="16838"/>
          <w:pgMar w:top="1440" w:right="1800" w:bottom="1440" w:left="1800" w:header="720" w:footer="720" w:gutter="0"/>
          <w:pgNumType w:fmt="numberInDash"/>
          <w:cols w:space="720" w:num="1"/>
          <w:docGrid w:type="lines" w:linePitch="312" w:charSpace="0"/>
        </w:sectPr>
      </w:pPr>
    </w:p>
    <w:p>
      <w:pPr>
        <w:rPr>
          <w:rFonts w:hint="eastAsia" w:ascii="仿宋_GB2312" w:hAnsi="仿宋_GB2312" w:eastAsia="仿宋_GB2312" w:cs="仿宋_GB2312"/>
          <w:sz w:val="32"/>
          <w:szCs w:val="32"/>
        </w:rPr>
      </w:pPr>
      <w:r>
        <w:rPr>
          <w:rFonts w:hint="eastAsia" w:ascii="仿宋_GB2312" w:hAnsi="仿宋_GB2312" w:eastAsia="仿宋_GB2312" w:cs="仿宋_GB2312"/>
          <w:sz w:val="21"/>
          <w:szCs w:val="21"/>
        </w:rPr>
        <w:object>
          <v:shape id="_x0000_i1025" o:spt="75" type="#_x0000_t75" style="height:421.25pt;width:671.95pt;" o:ole="t" filled="f" o:preferrelative="t" stroked="f" coordsize="21600,21600">
            <v:path/>
            <v:fill on="f" focussize="0,0"/>
            <v:stroke on="f"/>
            <v:imagedata r:id="rId7" o:title=""/>
            <o:lock v:ext="edit" aspectratio="f"/>
            <w10:wrap type="none"/>
            <w10:anchorlock/>
          </v:shape>
          <o:OLEObject Type="Embed" ProgID="Excel.Sheet.12" ShapeID="_x0000_i1025" DrawAspect="Content" ObjectID="_1468075725" r:id="rId6">
            <o:LockedField>false</o:LockedField>
          </o:OLEObject>
        </w:object>
      </w:r>
      <w:r>
        <w:rPr>
          <w:rFonts w:hint="eastAsia" w:ascii="仿宋_GB2312" w:hAnsi="仿宋_GB2312" w:eastAsia="仿宋_GB2312" w:cs="仿宋_GB2312"/>
          <w:sz w:val="21"/>
          <w:szCs w:val="21"/>
        </w:rPr>
        <w:object>
          <v:shape id="_x0000_i1026" o:spt="75" type="#_x0000_t75" style="height:417.4pt;width:679.55pt;" o:ole="t" filled="f" o:preferrelative="t" stroked="f" coordsize="21600,21600">
            <v:path/>
            <v:fill on="f" focussize="0,0"/>
            <v:stroke on="f"/>
            <v:imagedata r:id="rId9" o:title=""/>
            <o:lock v:ext="edit" aspectratio="f"/>
            <w10:wrap type="none"/>
            <w10:anchorlock/>
          </v:shape>
          <o:OLEObject Type="Embed" ProgID="Excel.Sheet.12" ShapeID="_x0000_i1026" DrawAspect="Content" ObjectID="_1468075726" r:id="rId8">
            <o:LockedField>false</o:LockedField>
          </o:OLEObject>
        </w:object>
      </w:r>
      <w:r>
        <w:rPr>
          <w:rFonts w:hint="eastAsia" w:ascii="仿宋_GB2312" w:hAnsi="仿宋_GB2312" w:eastAsia="仿宋_GB2312" w:cs="仿宋_GB2312"/>
          <w:sz w:val="32"/>
          <w:szCs w:val="32"/>
        </w:rPr>
        <w:object>
          <v:shape id="_x0000_i1027" o:spt="75" type="#_x0000_t75" style="height:394.85pt;width:666.05pt;" o:ole="t" filled="f" o:preferrelative="t" stroked="f" coordsize="21600,21600">
            <v:path/>
            <v:fill on="f" focussize="0,0"/>
            <v:stroke on="f"/>
            <v:imagedata r:id="rId11" o:title=""/>
            <o:lock v:ext="edit" aspectratio="f"/>
            <w10:wrap type="none"/>
            <w10:anchorlock/>
          </v:shape>
          <o:OLEObject Type="Embed" ProgID="Excel.Sheet.12" ShapeID="_x0000_i1027" DrawAspect="Content" ObjectID="_1468075727" r:id="rId10">
            <o:LockedField>false</o:LockedField>
          </o:OLEObject>
        </w:object>
      </w:r>
      <w:r>
        <w:rPr>
          <w:rFonts w:hint="eastAsia" w:ascii="仿宋_GB2312" w:hAnsi="仿宋_GB2312" w:eastAsia="仿宋_GB2312" w:cs="仿宋_GB2312"/>
          <w:sz w:val="32"/>
          <w:szCs w:val="32"/>
        </w:rPr>
        <w:object>
          <v:shape id="_x0000_i1028" o:spt="75" type="#_x0000_t75" style="height:394.8pt;width:678.8pt;" o:ole="t" filled="f" o:preferrelative="t" stroked="f" coordsize="21600,21600">
            <v:path/>
            <v:fill on="f" focussize="0,0"/>
            <v:stroke on="f"/>
            <v:imagedata r:id="rId13" o:title=""/>
            <o:lock v:ext="edit" aspectratio="f"/>
            <w10:wrap type="none"/>
            <w10:anchorlock/>
          </v:shape>
          <o:OLEObject Type="Embed" ProgID="Excel.Sheet.12" ShapeID="_x0000_i1028" DrawAspect="Content" ObjectID="_1468075728" r:id="rId12">
            <o:LockedField>false</o:LockedField>
          </o:OLEObject>
        </w:object>
      </w:r>
      <w:r>
        <w:rPr>
          <w:rFonts w:hint="eastAsia" w:ascii="仿宋_GB2312" w:hAnsi="仿宋_GB2312" w:eastAsia="仿宋_GB2312" w:cs="仿宋_GB2312"/>
          <w:sz w:val="32"/>
          <w:szCs w:val="32"/>
        </w:rPr>
        <w:object>
          <v:shape id="_x0000_i1029" o:spt="75" type="#_x0000_t75" style="height:399.3pt;width:688.4pt;" o:ole="t" filled="f" o:preferrelative="t" stroked="f" coordsize="21600,21600">
            <v:path/>
            <v:fill on="f" focussize="0,0"/>
            <v:stroke on="f"/>
            <v:imagedata r:id="rId15" o:title=""/>
            <o:lock v:ext="edit" aspectratio="f"/>
            <w10:wrap type="none"/>
            <w10:anchorlock/>
          </v:shape>
          <o:OLEObject Type="Embed" ProgID="Excel.Sheet.12" ShapeID="_x0000_i1029" DrawAspect="Content" ObjectID="_1468075729" r:id="rId14">
            <o:LockedField>false</o:LockedField>
          </o:OLEObject>
        </w:object>
      </w:r>
      <w:r>
        <w:rPr>
          <w:rFonts w:hint="eastAsia" w:ascii="仿宋_GB2312" w:hAnsi="仿宋_GB2312" w:eastAsia="仿宋_GB2312" w:cs="仿宋_GB2312"/>
          <w:sz w:val="32"/>
          <w:szCs w:val="32"/>
        </w:rPr>
        <w:object>
          <v:shape id="_x0000_i1030" o:spt="75" type="#_x0000_t75" style="height:395.45pt;width:684.95pt;" o:ole="t" filled="f" o:preferrelative="t" stroked="f" coordsize="21600,21600">
            <v:path/>
            <v:fill on="f" focussize="0,0"/>
            <v:stroke on="f"/>
            <v:imagedata r:id="rId17" o:title=""/>
            <o:lock v:ext="edit" aspectratio="f"/>
            <w10:wrap type="none"/>
            <w10:anchorlock/>
          </v:shape>
          <o:OLEObject Type="Embed" ProgID="Excel.Sheet.12" ShapeID="_x0000_i1030" DrawAspect="Content" ObjectID="_1468075730" r:id="rId16">
            <o:LockedField>false</o:LockedField>
          </o:OLEObject>
        </w:object>
      </w:r>
      <w:r>
        <w:rPr>
          <w:rFonts w:hint="eastAsia" w:ascii="仿宋_GB2312" w:hAnsi="仿宋_GB2312" w:eastAsia="仿宋_GB2312" w:cs="仿宋_GB2312"/>
          <w:sz w:val="32"/>
          <w:szCs w:val="32"/>
        </w:rPr>
        <w:object>
          <v:shape id="_x0000_i1031" o:spt="75" type="#_x0000_t75" style="height:174pt;width:684pt;" o:ole="t" filled="f" o:preferrelative="t" stroked="f" coordsize="21600,21600">
            <v:path/>
            <v:fill on="f" focussize="0,0"/>
            <v:stroke on="f"/>
            <v:imagedata r:id="rId19" o:title=""/>
            <o:lock v:ext="edit" aspectratio="f"/>
            <w10:wrap type="none"/>
            <w10:anchorlock/>
          </v:shape>
          <o:OLEObject Type="Embed" ProgID="Excel.Sheet.12" ShapeID="_x0000_i1031" DrawAspect="Content" ObjectID="_1468075731" r:id="rId18">
            <o:LockedField>false</o:LockedField>
          </o:OLEObject>
        </w:object>
      </w:r>
    </w:p>
    <w:p>
      <w:pPr>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sectPr>
          <w:pgSz w:w="16838" w:h="11906" w:orient="landscape"/>
          <w:pgMar w:top="2098" w:right="1474" w:bottom="1984" w:left="1587" w:header="720" w:footer="720" w:gutter="0"/>
          <w:pgNumType w:fmt="numberInDash"/>
          <w:cols w:space="720" w:num="1"/>
          <w:docGrid w:type="lines" w:linePitch="312" w:charSpace="0"/>
        </w:sectPr>
      </w:pPr>
      <w:r>
        <w:rPr>
          <w:rFonts w:hint="eastAsia" w:ascii="仿宋_GB2312" w:hAnsi="仿宋_GB2312" w:eastAsia="仿宋_GB2312" w:cs="仿宋_GB2312"/>
          <w:sz w:val="32"/>
          <w:szCs w:val="32"/>
        </w:rPr>
        <w:object>
          <v:shape id="_x0000_i1032" o:spt="75" type="#_x0000_t75" style="height:285pt;width:622.5pt;" o:ole="t" filled="f" o:preferrelative="t" stroked="f" coordsize="21600,21600">
            <v:path/>
            <v:fill on="f" focussize="0,0"/>
            <v:stroke on="f"/>
            <v:imagedata r:id="rId21" o:title=""/>
            <o:lock v:ext="edit" aspectratio="f"/>
            <w10:wrap type="none"/>
            <w10:anchorlock/>
          </v:shape>
          <o:OLEObject Type="Embed" ProgID="Excel.Sheet.12" ShapeID="_x0000_i1032" DrawAspect="Content" ObjectID="_1468075732" r:id="rId20">
            <o:LockedField>false</o:LockedField>
          </o:OLEObject>
        </w:object>
      </w:r>
    </w:p>
    <w:p>
      <w:pPr>
        <w:jc w:val="both"/>
        <w:outlineLvl w:val="0"/>
        <w:rPr>
          <w:rFonts w:hint="eastAsia" w:ascii="黑体" w:hAnsi="黑体" w:eastAsia="黑体" w:cs="黑体"/>
          <w:sz w:val="48"/>
          <w:szCs w:val="48"/>
        </w:rPr>
      </w:pPr>
    </w:p>
    <w:p>
      <w:pPr>
        <w:jc w:val="both"/>
        <w:outlineLvl w:val="0"/>
        <w:rPr>
          <w:rFonts w:hint="eastAsia" w:ascii="黑体" w:hAnsi="黑体" w:eastAsia="黑体" w:cs="黑体"/>
          <w:sz w:val="48"/>
          <w:szCs w:val="48"/>
        </w:rPr>
      </w:pPr>
    </w:p>
    <w:p>
      <w:pPr>
        <w:jc w:val="both"/>
        <w:outlineLvl w:val="0"/>
        <w:rPr>
          <w:rFonts w:hint="eastAsia" w:ascii="黑体" w:hAnsi="黑体" w:eastAsia="黑体" w:cs="黑体"/>
          <w:sz w:val="48"/>
          <w:szCs w:val="48"/>
        </w:rPr>
      </w:pPr>
    </w:p>
    <w:p>
      <w:pPr>
        <w:jc w:val="both"/>
        <w:outlineLvl w:val="0"/>
        <w:rPr>
          <w:rFonts w:hint="eastAsia" w:ascii="黑体" w:hAnsi="黑体" w:eastAsia="黑体" w:cs="黑体"/>
          <w:sz w:val="48"/>
          <w:szCs w:val="48"/>
        </w:rPr>
      </w:pPr>
      <w:r>
        <w:rPr>
          <w:rFonts w:hint="eastAsia" w:ascii="黑体" w:hAnsi="黑体" w:eastAsia="黑体" w:cs="黑体"/>
          <w:sz w:val="48"/>
          <w:szCs w:val="48"/>
        </w:rPr>
        <w:t>第三部分  2019年度部门决算情况说明</w:t>
      </w:r>
    </w:p>
    <w:p>
      <w:pPr>
        <w:widowControl/>
        <w:jc w:val="left"/>
        <w:rPr>
          <w:rFonts w:hint="eastAsia" w:ascii="黑体" w:hAnsi="黑体" w:eastAsia="黑体" w:cs="黑体"/>
          <w:sz w:val="48"/>
          <w:szCs w:val="48"/>
        </w:rPr>
        <w:sectPr>
          <w:pgSz w:w="11906" w:h="16838"/>
          <w:pgMar w:top="1440" w:right="1800" w:bottom="1440" w:left="1800" w:header="720" w:footer="720" w:gutter="0"/>
          <w:pgNumType w:fmt="numberInDash"/>
          <w:cols w:space="720" w:num="1"/>
          <w:docGrid w:type="lines" w:linePitch="312" w:charSpace="0"/>
        </w:sectPr>
      </w:pPr>
    </w:p>
    <w:p>
      <w:pPr>
        <w:widowControl/>
        <w:spacing w:line="590" w:lineRule="exact"/>
        <w:ind w:firstLine="640" w:firstLineChars="200"/>
        <w:outlineLvl w:val="1"/>
        <w:rPr>
          <w:rFonts w:hint="eastAsia" w:ascii="黑体" w:hAnsi="黑体" w:eastAsia="黑体" w:cs="黑体"/>
          <w:sz w:val="32"/>
          <w:szCs w:val="32"/>
        </w:rPr>
      </w:pPr>
      <w:r>
        <w:rPr>
          <w:rFonts w:hint="eastAsia" w:ascii="黑体" w:hAnsi="黑体" w:eastAsia="黑体" w:cs="黑体"/>
          <w:sz w:val="32"/>
          <w:szCs w:val="32"/>
        </w:rPr>
        <w:t>一、收入支出决算总体情况说明</w:t>
      </w:r>
    </w:p>
    <w:p>
      <w:pPr>
        <w:widowControl/>
        <w:spacing w:line="59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2019年度收、支总计均为</w:t>
      </w:r>
      <w:r>
        <w:rPr>
          <w:rFonts w:hint="eastAsia" w:ascii="仿宋_GB2312" w:hAnsi="仿宋_GB2312" w:eastAsia="仿宋_GB2312" w:cs="仿宋_GB2312"/>
          <w:sz w:val="32"/>
          <w:szCs w:val="32"/>
          <w:lang w:val="zh-CN"/>
        </w:rPr>
        <w:t>72,792.19万元</w:t>
      </w:r>
      <w:r>
        <w:rPr>
          <w:rFonts w:hint="eastAsia" w:ascii="仿宋_GB2312" w:hAnsi="仿宋_GB2312" w:eastAsia="仿宋_GB2312" w:cs="仿宋_GB2312"/>
          <w:sz w:val="32"/>
          <w:szCs w:val="32"/>
        </w:rPr>
        <w:t>万元。与上年度相比，收、支总计各增加</w:t>
      </w:r>
      <w:r>
        <w:rPr>
          <w:rFonts w:hint="eastAsia" w:ascii="仿宋_GB2312" w:hAnsi="仿宋_GB2312" w:eastAsia="仿宋_GB2312" w:cs="仿宋_GB2312"/>
          <w:sz w:val="32"/>
          <w:szCs w:val="32"/>
          <w:lang w:val="zh-CN"/>
        </w:rPr>
        <w:t>9,379.61</w:t>
      </w:r>
      <w:r>
        <w:rPr>
          <w:rFonts w:hint="eastAsia" w:ascii="仿宋_GB2312" w:hAnsi="仿宋_GB2312" w:eastAsia="仿宋_GB2312" w:cs="仿宋_GB2312"/>
          <w:sz w:val="32"/>
          <w:szCs w:val="32"/>
        </w:rPr>
        <w:t>万元，增长</w:t>
      </w:r>
      <w:r>
        <w:rPr>
          <w:rFonts w:hint="eastAsia" w:ascii="仿宋_GB2312" w:hAnsi="仿宋_GB2312" w:eastAsia="仿宋_GB2312" w:cs="仿宋_GB2312"/>
          <w:sz w:val="32"/>
          <w:szCs w:val="32"/>
          <w:lang w:val="zh-CN"/>
        </w:rPr>
        <w:t>14.79</w:t>
      </w:r>
      <w:r>
        <w:rPr>
          <w:rFonts w:hint="eastAsia" w:ascii="仿宋_GB2312" w:hAnsi="仿宋_GB2312" w:eastAsia="仿宋_GB2312" w:cs="仿宋_GB2312"/>
          <w:sz w:val="32"/>
          <w:szCs w:val="32"/>
        </w:rPr>
        <w:t>%。主要原因是</w:t>
      </w:r>
      <w:r>
        <w:rPr>
          <w:rFonts w:hint="eastAsia" w:ascii="仿宋_GB2312" w:hAnsi="仿宋_GB2312" w:eastAsia="仿宋_GB2312" w:cs="仿宋_GB2312"/>
          <w:color w:val="auto"/>
          <w:sz w:val="32"/>
          <w:szCs w:val="32"/>
          <w:highlight w:val="none"/>
          <w:lang w:val="en-US" w:eastAsia="zh-CN"/>
        </w:rPr>
        <w:t>年初结转9820.41万元，结转金额较大</w:t>
      </w:r>
      <w:r>
        <w:rPr>
          <w:rFonts w:hint="eastAsia" w:ascii="仿宋_GB2312" w:hAnsi="仿宋_GB2312" w:eastAsia="仿宋_GB2312" w:cs="仿宋_GB2312"/>
          <w:sz w:val="32"/>
          <w:szCs w:val="32"/>
        </w:rPr>
        <w:t>。</w:t>
      </w:r>
    </w:p>
    <w:p>
      <w:pPr>
        <w:widowControl/>
        <w:spacing w:line="590" w:lineRule="exact"/>
        <w:ind w:firstLine="640" w:firstLineChars="200"/>
        <w:outlineLvl w:val="1"/>
        <w:rPr>
          <w:rFonts w:hint="eastAsia" w:ascii="黑体" w:hAnsi="黑体" w:eastAsia="黑体" w:cs="黑体"/>
          <w:sz w:val="32"/>
          <w:szCs w:val="32"/>
        </w:rPr>
      </w:pPr>
      <w:r>
        <w:rPr>
          <w:rFonts w:hint="eastAsia" w:ascii="黑体" w:hAnsi="黑体" w:eastAsia="黑体" w:cs="黑体"/>
          <w:sz w:val="32"/>
          <w:szCs w:val="32"/>
        </w:rPr>
        <w:t>二、收入决算情况说明</w:t>
      </w:r>
    </w:p>
    <w:p>
      <w:pPr>
        <w:spacing w:beforeLines="0" w:afterLines="0"/>
        <w:ind w:firstLine="640" w:firstLineChars="200"/>
        <w:jc w:val="left"/>
        <w:rPr>
          <w:rFonts w:hint="eastAsia" w:ascii="仿宋_GB2312" w:hAnsi="仿宋_GB2312" w:eastAsia="仿宋_GB2312" w:cs="仿宋_GB2312"/>
          <w:kern w:val="0"/>
          <w:sz w:val="32"/>
          <w:szCs w:val="32"/>
          <w:lang w:val="zh-CN"/>
        </w:rPr>
      </w:pPr>
      <w:r>
        <w:rPr>
          <w:rFonts w:hint="eastAsia" w:ascii="仿宋_GB2312" w:hAnsi="仿宋_GB2312" w:eastAsia="仿宋_GB2312" w:cs="仿宋_GB2312"/>
          <w:sz w:val="32"/>
          <w:szCs w:val="32"/>
        </w:rPr>
        <w:t>2019年度收入合计</w:t>
      </w:r>
      <w:r>
        <w:rPr>
          <w:rFonts w:hint="eastAsia" w:ascii="仿宋_GB2312" w:hAnsi="仿宋_GB2312" w:eastAsia="仿宋_GB2312" w:cs="仿宋_GB2312"/>
          <w:sz w:val="32"/>
          <w:szCs w:val="32"/>
          <w:lang w:val="zh-CN"/>
        </w:rPr>
        <w:t>62,971.78</w:t>
      </w:r>
      <w:r>
        <w:rPr>
          <w:rFonts w:hint="eastAsia" w:ascii="仿宋_GB2312" w:hAnsi="仿宋_GB2312" w:eastAsia="仿宋_GB2312" w:cs="仿宋_GB2312"/>
          <w:sz w:val="32"/>
          <w:szCs w:val="32"/>
        </w:rPr>
        <w:t>万元，其中：财政拨款收入</w:t>
      </w:r>
      <w:r>
        <w:rPr>
          <w:rFonts w:hint="eastAsia" w:ascii="仿宋_GB2312" w:hAnsi="仿宋_GB2312" w:eastAsia="仿宋_GB2312" w:cs="仿宋_GB2312"/>
          <w:sz w:val="32"/>
          <w:szCs w:val="32"/>
          <w:lang w:val="en-US"/>
        </w:rPr>
        <w:t>62,971.78</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100.00</w:t>
      </w:r>
      <w:r>
        <w:rPr>
          <w:rFonts w:hint="eastAsia" w:ascii="仿宋_GB2312" w:hAnsi="仿宋_GB2312" w:eastAsia="仿宋_GB2312" w:cs="仿宋_GB2312"/>
          <w:sz w:val="32"/>
          <w:szCs w:val="32"/>
        </w:rPr>
        <w:t>%</w:t>
      </w:r>
      <w:r>
        <w:rPr>
          <w:rFonts w:hint="eastAsia" w:ascii="仿宋_GB2312" w:hAnsi="仿宋_GB2312" w:eastAsia="仿宋_GB2312" w:cs="仿宋_GB2312"/>
          <w:kern w:val="0"/>
          <w:sz w:val="32"/>
          <w:szCs w:val="32"/>
          <w:lang w:val="zh-CN"/>
        </w:rPr>
        <w:t>。</w:t>
      </w:r>
    </w:p>
    <w:p>
      <w:pPr>
        <w:widowControl/>
        <w:spacing w:line="590" w:lineRule="exact"/>
        <w:ind w:firstLine="640" w:firstLineChars="200"/>
        <w:outlineLvl w:val="1"/>
        <w:rPr>
          <w:rFonts w:hint="eastAsia" w:ascii="黑体" w:hAnsi="黑体" w:eastAsia="黑体" w:cs="黑体"/>
          <w:sz w:val="32"/>
          <w:szCs w:val="32"/>
        </w:rPr>
      </w:pPr>
      <w:r>
        <w:rPr>
          <w:rFonts w:hint="eastAsia" w:ascii="黑体" w:hAnsi="黑体" w:eastAsia="黑体" w:cs="黑体"/>
          <w:sz w:val="32"/>
          <w:szCs w:val="32"/>
        </w:rPr>
        <w:t>三、支出决算情况说明</w:t>
      </w:r>
    </w:p>
    <w:p>
      <w:pPr>
        <w:spacing w:beforeLines="0" w:afterLines="0"/>
        <w:ind w:firstLine="640" w:firstLineChars="200"/>
        <w:jc w:val="left"/>
        <w:rPr>
          <w:rFonts w:hint="eastAsia" w:ascii="仿宋" w:hAnsi="仿宋" w:eastAsia="仿宋" w:cs="仿宋"/>
          <w:kern w:val="0"/>
          <w:sz w:val="32"/>
          <w:szCs w:val="32"/>
          <w:lang w:val="zh-CN"/>
        </w:rPr>
      </w:pPr>
      <w:r>
        <w:rPr>
          <w:rFonts w:hint="eastAsia" w:ascii="仿宋_GB2312" w:hAnsi="仿宋_GB2312" w:eastAsia="仿宋_GB2312" w:cs="仿宋_GB2312"/>
          <w:kern w:val="0"/>
          <w:sz w:val="32"/>
          <w:szCs w:val="32"/>
          <w:lang w:val="zh-CN"/>
        </w:rPr>
        <w:t>2019年度支出合计53,673.41万元，其中：基本支出45,438.29万元，占84.66%；项目支出8,235.12万元，占15.34%</w:t>
      </w:r>
      <w:r>
        <w:rPr>
          <w:rFonts w:hint="eastAsia" w:ascii="仿宋" w:hAnsi="仿宋" w:eastAsia="仿宋" w:cs="仿宋"/>
          <w:kern w:val="0"/>
          <w:sz w:val="32"/>
          <w:szCs w:val="32"/>
          <w:lang w:val="zh-CN"/>
        </w:rPr>
        <w:t>。</w:t>
      </w:r>
    </w:p>
    <w:p>
      <w:pPr>
        <w:widowControl/>
        <w:spacing w:line="590" w:lineRule="exact"/>
        <w:ind w:firstLine="640" w:firstLineChars="200"/>
        <w:outlineLvl w:val="1"/>
        <w:rPr>
          <w:rFonts w:hint="eastAsia" w:ascii="黑体" w:hAnsi="黑体" w:eastAsia="黑体" w:cs="黑体"/>
          <w:sz w:val="32"/>
          <w:szCs w:val="32"/>
        </w:rPr>
      </w:pPr>
      <w:r>
        <w:rPr>
          <w:rFonts w:hint="eastAsia" w:ascii="黑体" w:hAnsi="黑体" w:eastAsia="黑体" w:cs="黑体"/>
          <w:sz w:val="32"/>
          <w:szCs w:val="32"/>
        </w:rPr>
        <w:t>四、财政拨款收入支出决算总体情况说明</w:t>
      </w:r>
    </w:p>
    <w:p>
      <w:pPr>
        <w:spacing w:beforeLines="0" w:afterLines="0"/>
        <w:ind w:firstLine="640" w:firstLineChars="200"/>
        <w:jc w:val="left"/>
        <w:rPr>
          <w:rFonts w:hint="eastAsia" w:ascii="仿宋_GB2312" w:hAnsi="仿宋_GB2312" w:eastAsia="仿宋_GB2312" w:cs="仿宋_GB2312"/>
          <w:kern w:val="0"/>
          <w:sz w:val="18"/>
          <w:lang w:val="zh-CN"/>
        </w:rPr>
      </w:pPr>
      <w:r>
        <w:rPr>
          <w:rFonts w:hint="eastAsia" w:ascii="仿宋_GB2312" w:hAnsi="仿宋_GB2312" w:eastAsia="仿宋_GB2312" w:cs="仿宋_GB2312"/>
          <w:kern w:val="0"/>
          <w:sz w:val="32"/>
          <w:szCs w:val="32"/>
          <w:lang w:val="zh-CN"/>
        </w:rPr>
        <w:t>2019年度财政拨款收、支总计均为72,792.19万元。与上年度相比，财政拨款收、支总计各增加9,401.73万元，增长14.83%。主要原因是</w:t>
      </w:r>
      <w:r>
        <w:rPr>
          <w:rFonts w:hint="eastAsia" w:ascii="仿宋_GB2312" w:hAnsi="仿宋_GB2312" w:eastAsia="仿宋_GB2312" w:cs="仿宋_GB2312"/>
          <w:color w:val="auto"/>
          <w:sz w:val="32"/>
          <w:szCs w:val="32"/>
          <w:highlight w:val="none"/>
          <w:lang w:val="en-US" w:eastAsia="zh-CN"/>
        </w:rPr>
        <w:t>年末结转</w:t>
      </w:r>
      <w:r>
        <w:rPr>
          <w:rFonts w:hint="eastAsia" w:ascii="仿宋_GB2312" w:hAnsi="仿宋_GB2312" w:eastAsia="仿宋_GB2312" w:cs="仿宋_GB2312"/>
          <w:kern w:val="0"/>
          <w:sz w:val="32"/>
          <w:szCs w:val="32"/>
          <w:lang w:val="en-US" w:eastAsia="zh-CN"/>
        </w:rPr>
        <w:t>19118.78</w:t>
      </w:r>
      <w:r>
        <w:rPr>
          <w:rFonts w:hint="eastAsia" w:ascii="仿宋_GB2312" w:hAnsi="仿宋_GB2312" w:eastAsia="仿宋_GB2312" w:cs="仿宋_GB2312"/>
          <w:color w:val="auto"/>
          <w:sz w:val="32"/>
          <w:szCs w:val="32"/>
          <w:highlight w:val="none"/>
          <w:lang w:val="en-US" w:eastAsia="zh-CN"/>
        </w:rPr>
        <w:t>万元，金额较大</w:t>
      </w:r>
      <w:r>
        <w:rPr>
          <w:rFonts w:hint="eastAsia" w:ascii="仿宋_GB2312" w:hAnsi="仿宋_GB2312" w:eastAsia="仿宋_GB2312" w:cs="仿宋_GB2312"/>
          <w:kern w:val="0"/>
          <w:sz w:val="32"/>
          <w:szCs w:val="32"/>
          <w:lang w:val="zh-CN"/>
        </w:rPr>
        <w:t>。</w:t>
      </w:r>
    </w:p>
    <w:p>
      <w:pPr>
        <w:widowControl/>
        <w:spacing w:line="590" w:lineRule="exact"/>
        <w:ind w:firstLine="640" w:firstLineChars="200"/>
        <w:outlineLvl w:val="1"/>
        <w:rPr>
          <w:rFonts w:hint="eastAsia" w:ascii="黑体" w:hAnsi="黑体" w:eastAsia="黑体" w:cs="黑体"/>
          <w:sz w:val="32"/>
          <w:szCs w:val="32"/>
        </w:rPr>
      </w:pPr>
      <w:r>
        <w:rPr>
          <w:rFonts w:hint="eastAsia" w:ascii="黑体" w:hAnsi="黑体" w:eastAsia="黑体" w:cs="黑体"/>
          <w:sz w:val="32"/>
          <w:szCs w:val="32"/>
        </w:rPr>
        <w:t>五、一般公共预算财政拨款支出决算情况说明</w:t>
      </w:r>
    </w:p>
    <w:p>
      <w:pPr>
        <w:widowControl/>
        <w:spacing w:line="590" w:lineRule="exact"/>
        <w:ind w:firstLine="643" w:firstLineChars="200"/>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（一）总体情况。</w:t>
      </w:r>
    </w:p>
    <w:p>
      <w:pPr>
        <w:spacing w:beforeLines="0" w:afterLines="0"/>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zh-CN"/>
        </w:rPr>
        <w:t>2019年度一般公共预算财政拨款支出52,780.78万元，占本年支出合计的98.3</w:t>
      </w:r>
      <w:r>
        <w:rPr>
          <w:rFonts w:hint="eastAsia" w:ascii="仿宋_GB2312" w:hAnsi="仿宋_GB2312" w:eastAsia="仿宋_GB2312" w:cs="仿宋_GB2312"/>
          <w:kern w:val="0"/>
          <w:sz w:val="32"/>
          <w:szCs w:val="32"/>
          <w:lang w:val="en-US" w:eastAsia="zh-CN"/>
        </w:rPr>
        <w:t>4</w:t>
      </w:r>
      <w:r>
        <w:rPr>
          <w:rFonts w:hint="eastAsia" w:ascii="仿宋_GB2312" w:hAnsi="仿宋_GB2312" w:eastAsia="仿宋_GB2312" w:cs="仿宋_GB2312"/>
          <w:kern w:val="0"/>
          <w:sz w:val="32"/>
          <w:szCs w:val="32"/>
          <w:lang w:val="zh-CN"/>
        </w:rPr>
        <w:t>%。与上年度相比，一般公共预算财政拨款支出减少605.62万元，下降1.13%。主要原因是项目支出减少。</w:t>
      </w:r>
    </w:p>
    <w:p>
      <w:pPr>
        <w:widowControl/>
        <w:spacing w:line="590" w:lineRule="exact"/>
        <w:ind w:firstLine="643" w:firstLineChars="200"/>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（二）结构情况。</w:t>
      </w:r>
    </w:p>
    <w:p>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kern w:val="0"/>
          <w:sz w:val="32"/>
          <w:szCs w:val="32"/>
          <w:lang w:val="zh-CN"/>
        </w:rPr>
        <w:t>2019年度一般公共预算财政拨款支出52,780.78万元，主要用于以下方面：</w:t>
      </w:r>
      <w:r>
        <w:rPr>
          <w:rFonts w:hint="eastAsia" w:ascii="仿宋_GB2312" w:hAnsi="仿宋_GB2312" w:eastAsia="仿宋_GB2312" w:cs="仿宋_GB2312"/>
          <w:color w:val="auto"/>
          <w:sz w:val="32"/>
          <w:szCs w:val="32"/>
          <w:highlight w:val="none"/>
          <w:lang w:val="en-US" w:eastAsia="zh-CN"/>
        </w:rPr>
        <w:t>教育（类）支出52611.90万元，占</w:t>
      </w:r>
      <w:r>
        <w:rPr>
          <w:rFonts w:hint="eastAsia" w:ascii="仿宋_GB2312" w:hAnsi="仿宋_GB2312" w:eastAsia="仿宋_GB2312" w:cs="仿宋_GB2312"/>
          <w:color w:val="auto"/>
          <w:sz w:val="32"/>
          <w:szCs w:val="32"/>
          <w:highlight w:val="none"/>
          <w:u w:val="none"/>
          <w:lang w:val="en-US" w:eastAsia="zh-CN"/>
        </w:rPr>
        <w:t>99.68</w:t>
      </w:r>
      <w:r>
        <w:rPr>
          <w:rFonts w:hint="eastAsia" w:ascii="仿宋_GB2312" w:hAnsi="仿宋_GB2312" w:eastAsia="仿宋_GB2312" w:cs="仿宋_GB2312"/>
          <w:color w:val="auto"/>
          <w:sz w:val="32"/>
          <w:szCs w:val="32"/>
          <w:highlight w:val="none"/>
          <w:lang w:val="en-US" w:eastAsia="zh-CN"/>
        </w:rPr>
        <w:t>%；文化旅游体育与传媒（类</w:t>
      </w:r>
      <w:bookmarkStart w:id="0" w:name="_GoBack"/>
      <w:bookmarkEnd w:id="0"/>
      <w:r>
        <w:rPr>
          <w:rFonts w:hint="eastAsia" w:ascii="仿宋_GB2312" w:hAnsi="仿宋_GB2312" w:eastAsia="仿宋_GB2312" w:cs="仿宋_GB2312"/>
          <w:color w:val="auto"/>
          <w:sz w:val="32"/>
          <w:szCs w:val="32"/>
          <w:highlight w:val="none"/>
          <w:lang w:val="en-US" w:eastAsia="zh-CN"/>
        </w:rPr>
        <w:t>）支出8.88万元，占0.02%；社会保障和就业（类）支出160.00万元，占0.3%。</w:t>
      </w:r>
    </w:p>
    <w:p>
      <w:pPr>
        <w:widowControl/>
        <w:spacing w:line="590" w:lineRule="exact"/>
        <w:ind w:firstLine="643" w:firstLineChars="200"/>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（三）具体情况。</w:t>
      </w:r>
    </w:p>
    <w:p>
      <w:pPr>
        <w:widowControl/>
        <w:spacing w:line="59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zh-CN"/>
        </w:rPr>
        <w:t>2019年度一般公共预算财政拨款支出年初预算为59,025.44万元，支出决算为52,780.78万元，完成年初预算的89.42%。其中：</w:t>
      </w:r>
    </w:p>
    <w:p>
      <w:pPr>
        <w:widowControl/>
        <w:numPr>
          <w:ilvl w:val="0"/>
          <w:numId w:val="2"/>
        </w:numPr>
        <w:spacing w:line="590" w:lineRule="exact"/>
        <w:ind w:firstLine="640" w:firstLineChars="200"/>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教育支出（类）教育管理事务（款）行政运行（项）年初预算为969.30万元，支出决算为919.09万元，完成年初预算的94.82%。决算数与年初预算数存在差异的主要原因是部分行政于行费用结转下年支付。</w:t>
      </w:r>
    </w:p>
    <w:p>
      <w:pPr>
        <w:widowControl/>
        <w:numPr>
          <w:ilvl w:val="0"/>
          <w:numId w:val="2"/>
        </w:numPr>
        <w:spacing w:line="590" w:lineRule="exact"/>
        <w:ind w:firstLine="640" w:firstLineChars="200"/>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教育支出（类）教育管理事务（款）一般行政管理事务（项）年初预算为499.44万元，支出决算为439.07万元，完成年初预算的87.91%。决算数与年初预算数存在差异的主要原因是部分项目费用未达到支付条件结转下年支付。</w:t>
      </w:r>
    </w:p>
    <w:p>
      <w:pPr>
        <w:widowControl/>
        <w:numPr>
          <w:ilvl w:val="0"/>
          <w:numId w:val="2"/>
        </w:numPr>
        <w:spacing w:line="590" w:lineRule="exact"/>
        <w:ind w:firstLine="640" w:firstLineChars="200"/>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教育支出（类）普通教育（款）学前教育（项）年初预算为1979.99万元，支出决算为1766.26万元，完成年初预算的89.21%。决算数与年初预算数存在差异的主要原因是部分项目费用未达到支付条件结转下年支付。</w:t>
      </w:r>
    </w:p>
    <w:p>
      <w:pPr>
        <w:widowControl/>
        <w:numPr>
          <w:ilvl w:val="0"/>
          <w:numId w:val="2"/>
        </w:numPr>
        <w:spacing w:line="590" w:lineRule="exact"/>
        <w:ind w:firstLine="640" w:firstLineChars="200"/>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教育支出（类）普通教育（款）小学教育（项）年初预算为25287.50 万元，支出决算为22793.05万元，完成年初预算的90.14%。决算数与年初预算数存在差异的主要原因是部分项目费用未达到支付条件结转下年支付。</w:t>
      </w:r>
    </w:p>
    <w:p>
      <w:pPr>
        <w:widowControl/>
        <w:numPr>
          <w:ilvl w:val="0"/>
          <w:numId w:val="2"/>
        </w:numPr>
        <w:spacing w:line="590" w:lineRule="exact"/>
        <w:ind w:firstLine="640" w:firstLineChars="200"/>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教育支出（类）普通教育（款）初中教育（项）年初预算为14223.76万元，支出决算为12590.27万元，完成年初预算的88.52%。决算数与年初预算数存在差异的主要原因是部分项目费用未达到支付条件结转下年支付。</w:t>
      </w:r>
    </w:p>
    <w:p>
      <w:pPr>
        <w:keepNext w:val="0"/>
        <w:keepLines w:val="0"/>
        <w:pageBreakBefore w:val="0"/>
        <w:widowControl/>
        <w:numPr>
          <w:ilvl w:val="0"/>
          <w:numId w:val="2"/>
        </w:numPr>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教育支出（类）普通教育（款）高中教育（项）年初预算为9183.70万元，支出决算为8095.14万元，完成年初预算的88.14%。决算数与年初预算数存在差异的主要原因是部分项目费用结转下年支付。</w:t>
      </w:r>
    </w:p>
    <w:p>
      <w:pPr>
        <w:keepNext w:val="0"/>
        <w:keepLines w:val="0"/>
        <w:pageBreakBefore w:val="0"/>
        <w:widowControl/>
        <w:numPr>
          <w:ilvl w:val="0"/>
          <w:numId w:val="2"/>
        </w:numPr>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教育支出（类）普通教育（款）其它普通教育（项）年初预算为270.84万元，支出决算为270.84万元，完成年初预算的100.0%。</w:t>
      </w:r>
    </w:p>
    <w:p>
      <w:pPr>
        <w:keepNext w:val="0"/>
        <w:keepLines w:val="0"/>
        <w:pageBreakBefore w:val="0"/>
        <w:widowControl/>
        <w:numPr>
          <w:ilvl w:val="0"/>
          <w:numId w:val="2"/>
        </w:numPr>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教育支出（类）职业教育（款）中专教育（项）年初预算为2013.67万元，支出决算为1805.32万元，完成年初预算的89.65%。决算数与年初预算数存在差异的主要原因是部分项目费用结转下年支付。</w:t>
      </w:r>
    </w:p>
    <w:p>
      <w:pPr>
        <w:keepNext w:val="0"/>
        <w:keepLines w:val="0"/>
        <w:pageBreakBefore w:val="0"/>
        <w:widowControl/>
        <w:numPr>
          <w:ilvl w:val="0"/>
          <w:numId w:val="0"/>
        </w:numPr>
        <w:kinsoku/>
        <w:wordWrap/>
        <w:overflowPunct/>
        <w:topLinePunct w:val="0"/>
        <w:autoSpaceDE/>
        <w:autoSpaceDN/>
        <w:bidi w:val="0"/>
        <w:adjustRightInd/>
        <w:snapToGrid/>
        <w:spacing w:line="590" w:lineRule="exact"/>
        <w:ind w:right="0" w:rightChars="0" w:firstLine="640" w:firstLineChars="200"/>
        <w:jc w:val="both"/>
        <w:textAlignment w:val="auto"/>
        <w:outlineLvl w:val="9"/>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9.教育支出（类）职业教育（款）职业高中教育（项）年初预算为2030.86万元，支出决算为1782.33万元，完成年初预算的87.76%。决算数与年初预算数存在差异的主要原因是部分项目费用结转下年支付。</w:t>
      </w:r>
    </w:p>
    <w:p>
      <w:pPr>
        <w:keepNext w:val="0"/>
        <w:keepLines w:val="0"/>
        <w:pageBreakBefore w:val="0"/>
        <w:widowControl/>
        <w:numPr>
          <w:ilvl w:val="0"/>
          <w:numId w:val="0"/>
        </w:numPr>
        <w:kinsoku/>
        <w:wordWrap/>
        <w:overflowPunct/>
        <w:topLinePunct w:val="0"/>
        <w:autoSpaceDE/>
        <w:autoSpaceDN/>
        <w:bidi w:val="0"/>
        <w:adjustRightInd/>
        <w:snapToGrid/>
        <w:spacing w:line="590" w:lineRule="exact"/>
        <w:ind w:right="0" w:rightChars="0" w:firstLine="640" w:firstLineChars="200"/>
        <w:jc w:val="both"/>
        <w:textAlignment w:val="auto"/>
        <w:outlineLvl w:val="9"/>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10.教育支出（类）特殊教育（款）特殊学校教育（项）年初预算为541.4万元，支出决算为462.88万元，完成年初预算的85.50%。决算数与年初预算数存在差异的主要原因是部分项目费用结转下年支付。</w:t>
      </w:r>
    </w:p>
    <w:p>
      <w:pPr>
        <w:keepNext w:val="0"/>
        <w:keepLines w:val="0"/>
        <w:pageBreakBefore w:val="0"/>
        <w:widowControl/>
        <w:numPr>
          <w:ilvl w:val="0"/>
          <w:numId w:val="0"/>
        </w:numPr>
        <w:kinsoku/>
        <w:wordWrap/>
        <w:overflowPunct/>
        <w:topLinePunct w:val="0"/>
        <w:autoSpaceDE/>
        <w:autoSpaceDN/>
        <w:bidi w:val="0"/>
        <w:adjustRightInd/>
        <w:snapToGrid/>
        <w:spacing w:line="590" w:lineRule="exact"/>
        <w:ind w:right="0" w:rightChars="0" w:firstLine="640" w:firstLineChars="200"/>
        <w:jc w:val="both"/>
        <w:textAlignment w:val="auto"/>
        <w:outlineLvl w:val="9"/>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11.教育支出（类）进修及培训（款）培训支出（项）年初预算为295.56万元，支出决算为295.56万元，完成年初预算的100.0%。</w:t>
      </w:r>
    </w:p>
    <w:p>
      <w:pPr>
        <w:keepNext w:val="0"/>
        <w:keepLines w:val="0"/>
        <w:pageBreakBefore w:val="0"/>
        <w:widowControl/>
        <w:numPr>
          <w:ilvl w:val="0"/>
          <w:numId w:val="0"/>
        </w:numPr>
        <w:kinsoku/>
        <w:wordWrap/>
        <w:overflowPunct/>
        <w:topLinePunct w:val="0"/>
        <w:autoSpaceDE/>
        <w:autoSpaceDN/>
        <w:bidi w:val="0"/>
        <w:adjustRightInd/>
        <w:snapToGrid/>
        <w:spacing w:line="590" w:lineRule="exact"/>
        <w:ind w:right="0" w:rightChars="0" w:firstLine="640" w:firstLineChars="200"/>
        <w:jc w:val="both"/>
        <w:textAlignment w:val="auto"/>
        <w:outlineLvl w:val="9"/>
        <w:rPr>
          <w:rFonts w:hint="default"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12.教育支出（类）教育费附加安排的支出（款）农村中小学教学设施（项）年初预算为1560.54万元，支出决算为1392.09万元，完成年初预算的89.21%。决算数与年初预算数存在差异的主要原因是部分项目费用结转下年支付。</w:t>
      </w:r>
    </w:p>
    <w:p>
      <w:pPr>
        <w:keepNext w:val="0"/>
        <w:keepLines w:val="0"/>
        <w:pageBreakBefore w:val="0"/>
        <w:widowControl/>
        <w:numPr>
          <w:ilvl w:val="0"/>
          <w:numId w:val="0"/>
        </w:numPr>
        <w:kinsoku/>
        <w:wordWrap/>
        <w:overflowPunct/>
        <w:topLinePunct w:val="0"/>
        <w:autoSpaceDE/>
        <w:autoSpaceDN/>
        <w:bidi w:val="0"/>
        <w:adjustRightInd/>
        <w:snapToGrid/>
        <w:spacing w:line="590" w:lineRule="exact"/>
        <w:ind w:right="0" w:rightChars="0" w:firstLine="640" w:firstLineChars="200"/>
        <w:jc w:val="both"/>
        <w:textAlignment w:val="auto"/>
        <w:outlineLvl w:val="9"/>
        <w:rPr>
          <w:rFonts w:hint="default"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13.文化旅游体育与传媒支出（类）体育（款）群众体育（项）年初预算为8.88万元，支出决算为8.88万元，完成年初预算的100.0%。</w:t>
      </w:r>
    </w:p>
    <w:p>
      <w:pPr>
        <w:widowControl/>
        <w:spacing w:line="590" w:lineRule="exact"/>
        <w:ind w:firstLine="640" w:firstLineChars="200"/>
        <w:outlineLvl w:val="1"/>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14.社会保障和就业支出（类）就业补助（款） 其他就业补助支出（项）年初预算为160.00万元，支出决算为160.00万元，完成年初预算的100.0%。</w:t>
      </w:r>
    </w:p>
    <w:p>
      <w:pPr>
        <w:widowControl/>
        <w:spacing w:line="590" w:lineRule="exact"/>
        <w:ind w:firstLine="640" w:firstLineChars="200"/>
        <w:outlineLvl w:val="1"/>
        <w:rPr>
          <w:rFonts w:hint="eastAsia" w:ascii="黑体" w:hAnsi="黑体" w:eastAsia="黑体" w:cs="黑体"/>
          <w:sz w:val="32"/>
          <w:szCs w:val="32"/>
        </w:rPr>
      </w:pPr>
      <w:r>
        <w:rPr>
          <w:rFonts w:hint="eastAsia" w:ascii="黑体" w:hAnsi="黑体" w:eastAsia="黑体" w:cs="黑体"/>
          <w:sz w:val="32"/>
          <w:szCs w:val="32"/>
        </w:rPr>
        <w:t>六、一般公共预算财政拨款基本支出决算情况说明</w:t>
      </w:r>
    </w:p>
    <w:p>
      <w:pPr>
        <w:spacing w:beforeLines="0" w:afterLines="0"/>
        <w:ind w:firstLine="640" w:firstLineChars="200"/>
        <w:jc w:val="left"/>
        <w:rPr>
          <w:rFonts w:hint="eastAsia" w:ascii="仿宋_GB2312" w:hAnsi="仿宋_GB2312" w:eastAsia="仿宋_GB2312" w:cs="仿宋_GB2312"/>
          <w:kern w:val="0"/>
          <w:sz w:val="32"/>
          <w:szCs w:val="32"/>
          <w:lang w:val="zh-CN"/>
        </w:rPr>
      </w:pPr>
      <w:r>
        <w:rPr>
          <w:rFonts w:hint="eastAsia" w:ascii="仿宋_GB2312" w:hAnsi="仿宋_GB2312" w:eastAsia="仿宋_GB2312" w:cs="仿宋_GB2312"/>
          <w:kern w:val="0"/>
          <w:sz w:val="32"/>
          <w:szCs w:val="32"/>
          <w:lang w:val="zh-CN"/>
        </w:rPr>
        <w:t>2019年度一般公共预算财政拨款基本支出45,438.29万元。其中：人员经费</w:t>
      </w:r>
      <w:r>
        <w:rPr>
          <w:rFonts w:hint="eastAsia" w:ascii="仿宋_GB2312" w:hAnsi="仿宋_GB2312" w:eastAsia="仿宋_GB2312" w:cs="仿宋_GB2312"/>
          <w:kern w:val="0"/>
          <w:sz w:val="32"/>
          <w:szCs w:val="32"/>
          <w:lang w:val="zh-CN" w:eastAsia="zh-CN"/>
        </w:rPr>
        <w:t>40,175.55</w:t>
      </w:r>
      <w:r>
        <w:rPr>
          <w:rFonts w:hint="eastAsia" w:ascii="仿宋_GB2312" w:hAnsi="仿宋_GB2312" w:eastAsia="仿宋_GB2312" w:cs="仿宋_GB2312"/>
          <w:kern w:val="0"/>
          <w:sz w:val="32"/>
          <w:szCs w:val="32"/>
          <w:lang w:val="zh-CN"/>
        </w:rPr>
        <w:t>万元，主要包括：基本工资、津贴补贴、伙食补助费、绩效工资、机关事业单位基本养老保险缴费、职业年金缴费、其他社会保障缴费、其他工资福利支出、离休费、退休费、抚恤金、生活补助、医疗费、奖励金、住房公积金、采暖补贴、物业服务补贴、其他对个人和家庭的补助支出；公用经费5,262.75万元，主要包括：办公费、印刷费、咨询费、手续费、水费、电费、邮电费、取暖费、物业管理费、差旅费、因公出国（境）费用、维修（护）费、租赁费、会议费、培训费、公务接待费、专用材料费、劳务费、委托业务费、工会经费、福利费、公务用车运行维护费、其他交通费用、税金及附加费用、其他商品和服务支出、办公设备购置、专用设备购置、信息网络及软件购置更新、其他资本性支出。</w:t>
      </w:r>
    </w:p>
    <w:p>
      <w:pPr>
        <w:widowControl/>
        <w:spacing w:line="590" w:lineRule="exact"/>
        <w:ind w:firstLine="640" w:firstLineChars="200"/>
        <w:outlineLvl w:val="1"/>
        <w:rPr>
          <w:rFonts w:hint="eastAsia" w:ascii="黑体" w:hAnsi="黑体" w:eastAsia="黑体" w:cs="黑体"/>
          <w:sz w:val="32"/>
          <w:szCs w:val="32"/>
        </w:rPr>
      </w:pPr>
      <w:r>
        <w:rPr>
          <w:rFonts w:hint="eastAsia" w:ascii="黑体" w:hAnsi="黑体" w:eastAsia="黑体" w:cs="黑体"/>
          <w:sz w:val="32"/>
          <w:szCs w:val="32"/>
        </w:rPr>
        <w:t>七、一般公共预算财政拨款“三公”经费支出决算情况说明</w:t>
      </w:r>
    </w:p>
    <w:p>
      <w:pPr>
        <w:widowControl/>
        <w:spacing w:line="590" w:lineRule="exact"/>
        <w:ind w:firstLine="643" w:firstLineChars="200"/>
        <w:outlineLvl w:val="2"/>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（一）“三公”经费财政拨款支出决算总体情况说明。</w:t>
      </w:r>
    </w:p>
    <w:p>
      <w:pPr>
        <w:spacing w:beforeLines="0" w:afterLines="0"/>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zh-CN"/>
        </w:rPr>
        <w:t>2019年度“三公”经费财政拨款支出预算为</w:t>
      </w:r>
      <w:r>
        <w:rPr>
          <w:rFonts w:hint="eastAsia" w:ascii="仿宋_GB2312" w:hAnsi="仿宋_GB2312" w:eastAsia="仿宋_GB2312" w:cs="仿宋_GB2312"/>
          <w:kern w:val="0"/>
          <w:sz w:val="32"/>
          <w:szCs w:val="32"/>
          <w:lang w:val="en-US" w:eastAsia="zh-CN"/>
        </w:rPr>
        <w:t>30.20</w:t>
      </w:r>
      <w:r>
        <w:rPr>
          <w:rFonts w:hint="eastAsia" w:ascii="仿宋_GB2312" w:hAnsi="仿宋_GB2312" w:eastAsia="仿宋_GB2312" w:cs="仿宋_GB2312"/>
          <w:kern w:val="0"/>
          <w:sz w:val="32"/>
          <w:szCs w:val="32"/>
          <w:lang w:val="zh-CN"/>
        </w:rPr>
        <w:t>万元，支出决算为15.41万元，完成预算的</w:t>
      </w:r>
      <w:r>
        <w:rPr>
          <w:rFonts w:hint="eastAsia" w:ascii="仿宋_GB2312" w:hAnsi="仿宋_GB2312" w:eastAsia="仿宋_GB2312" w:cs="仿宋_GB2312"/>
          <w:kern w:val="0"/>
          <w:sz w:val="32"/>
          <w:szCs w:val="32"/>
          <w:lang w:val="en-US" w:eastAsia="zh-CN"/>
        </w:rPr>
        <w:t>51.03</w:t>
      </w:r>
      <w:r>
        <w:rPr>
          <w:rFonts w:hint="eastAsia" w:ascii="仿宋_GB2312" w:hAnsi="仿宋_GB2312" w:eastAsia="仿宋_GB2312" w:cs="仿宋_GB2312"/>
          <w:kern w:val="0"/>
          <w:sz w:val="32"/>
          <w:szCs w:val="32"/>
          <w:lang w:val="zh-CN"/>
        </w:rPr>
        <w:t>%。2019年度“三公”经费支出决算数与预算数存在差异的主要原因是部分三公经费开支未支付。</w:t>
      </w:r>
    </w:p>
    <w:p>
      <w:pPr>
        <w:widowControl/>
        <w:spacing w:line="590" w:lineRule="exact"/>
        <w:ind w:firstLine="643" w:firstLineChars="200"/>
        <w:outlineLvl w:val="2"/>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（二）“三公”经费财政拨款支出决算具体情况说明。</w:t>
      </w:r>
    </w:p>
    <w:p>
      <w:pPr>
        <w:spacing w:beforeLines="0" w:afterLines="0"/>
        <w:ind w:firstLine="640" w:firstLineChars="200"/>
        <w:jc w:val="left"/>
        <w:rPr>
          <w:rFonts w:hint="eastAsia" w:ascii="仿宋_GB2312" w:hAnsi="仿宋_GB2312" w:eastAsia="仿宋_GB2312" w:cs="仿宋_GB2312"/>
          <w:kern w:val="0"/>
          <w:sz w:val="32"/>
          <w:szCs w:val="32"/>
          <w:lang w:val="zh-CN"/>
        </w:rPr>
      </w:pPr>
      <w:r>
        <w:rPr>
          <w:rFonts w:hint="eastAsia" w:ascii="仿宋_GB2312" w:hAnsi="仿宋_GB2312" w:eastAsia="仿宋_GB2312" w:cs="仿宋_GB2312"/>
          <w:kern w:val="0"/>
          <w:sz w:val="32"/>
          <w:szCs w:val="32"/>
          <w:lang w:val="zh-CN"/>
        </w:rPr>
        <w:t>2019年度“三公”经费财政拨款支出决算中，因公出国（境）费支出决算0万元，完成预算的</w:t>
      </w:r>
      <w:r>
        <w:rPr>
          <w:rFonts w:hint="eastAsia" w:ascii="仿宋_GB2312" w:hAnsi="仿宋_GB2312" w:eastAsia="仿宋_GB2312" w:cs="仿宋_GB2312"/>
          <w:kern w:val="0"/>
          <w:sz w:val="32"/>
          <w:szCs w:val="32"/>
          <w:lang w:val="en-US" w:eastAsia="zh-CN"/>
        </w:rPr>
        <w:t>0.00</w:t>
      </w:r>
      <w:r>
        <w:rPr>
          <w:rFonts w:hint="eastAsia" w:ascii="仿宋_GB2312" w:hAnsi="仿宋_GB2312" w:eastAsia="仿宋_GB2312" w:cs="仿宋_GB2312"/>
          <w:kern w:val="0"/>
          <w:sz w:val="32"/>
          <w:szCs w:val="32"/>
          <w:lang w:val="zh-CN"/>
        </w:rPr>
        <w:t>%，占</w:t>
      </w:r>
      <w:r>
        <w:rPr>
          <w:rFonts w:hint="eastAsia" w:ascii="仿宋_GB2312" w:hAnsi="仿宋_GB2312" w:eastAsia="仿宋_GB2312" w:cs="仿宋_GB2312"/>
          <w:kern w:val="0"/>
          <w:sz w:val="32"/>
          <w:szCs w:val="32"/>
          <w:lang w:val="en-US" w:eastAsia="zh-CN"/>
        </w:rPr>
        <w:t>0.00</w:t>
      </w:r>
      <w:r>
        <w:rPr>
          <w:rFonts w:hint="eastAsia" w:ascii="仿宋_GB2312" w:hAnsi="仿宋_GB2312" w:eastAsia="仿宋_GB2312" w:cs="仿宋_GB2312"/>
          <w:kern w:val="0"/>
          <w:sz w:val="32"/>
          <w:szCs w:val="32"/>
          <w:lang w:val="zh-CN"/>
        </w:rPr>
        <w:t>%；公务用车购置及运行费支出决算5.18万元，完成预算的</w:t>
      </w:r>
      <w:r>
        <w:rPr>
          <w:rFonts w:hint="eastAsia" w:ascii="仿宋_GB2312" w:hAnsi="仿宋_GB2312" w:eastAsia="仿宋_GB2312" w:cs="仿宋_GB2312"/>
          <w:kern w:val="0"/>
          <w:sz w:val="32"/>
          <w:szCs w:val="32"/>
          <w:lang w:val="en-US" w:eastAsia="zh-CN"/>
        </w:rPr>
        <w:t>43.18</w:t>
      </w:r>
      <w:r>
        <w:rPr>
          <w:rFonts w:hint="eastAsia" w:ascii="仿宋_GB2312" w:hAnsi="仿宋_GB2312" w:eastAsia="仿宋_GB2312" w:cs="仿宋_GB2312"/>
          <w:kern w:val="0"/>
          <w:sz w:val="32"/>
          <w:szCs w:val="32"/>
          <w:lang w:val="zh-CN"/>
        </w:rPr>
        <w:t>%，占</w:t>
      </w:r>
      <w:r>
        <w:rPr>
          <w:rFonts w:hint="eastAsia" w:ascii="仿宋_GB2312" w:hAnsi="仿宋_GB2312" w:eastAsia="仿宋_GB2312" w:cs="仿宋_GB2312"/>
          <w:kern w:val="0"/>
          <w:sz w:val="32"/>
          <w:szCs w:val="32"/>
          <w:lang w:val="en-US" w:eastAsia="zh-CN"/>
        </w:rPr>
        <w:t>33.67</w:t>
      </w:r>
      <w:r>
        <w:rPr>
          <w:rFonts w:hint="eastAsia" w:ascii="仿宋_GB2312" w:hAnsi="仿宋_GB2312" w:eastAsia="仿宋_GB2312" w:cs="仿宋_GB2312"/>
          <w:kern w:val="0"/>
          <w:sz w:val="32"/>
          <w:szCs w:val="32"/>
          <w:lang w:val="zh-CN"/>
        </w:rPr>
        <w:t>%；公务接待费支出决算10.22万元，完成预算的</w:t>
      </w:r>
      <w:r>
        <w:rPr>
          <w:rFonts w:hint="eastAsia" w:ascii="仿宋_GB2312" w:hAnsi="仿宋_GB2312" w:eastAsia="仿宋_GB2312" w:cs="仿宋_GB2312"/>
          <w:kern w:val="0"/>
          <w:sz w:val="32"/>
          <w:szCs w:val="32"/>
          <w:lang w:val="en-US" w:eastAsia="zh-CN"/>
        </w:rPr>
        <w:t>56.15</w:t>
      </w:r>
      <w:r>
        <w:rPr>
          <w:rFonts w:hint="eastAsia" w:ascii="仿宋_GB2312" w:hAnsi="仿宋_GB2312" w:eastAsia="仿宋_GB2312" w:cs="仿宋_GB2312"/>
          <w:kern w:val="0"/>
          <w:sz w:val="32"/>
          <w:szCs w:val="32"/>
          <w:lang w:val="zh-CN"/>
        </w:rPr>
        <w:t>%，占</w:t>
      </w:r>
      <w:r>
        <w:rPr>
          <w:rFonts w:hint="eastAsia" w:ascii="仿宋_GB2312" w:hAnsi="仿宋_GB2312" w:eastAsia="仿宋_GB2312" w:cs="仿宋_GB2312"/>
          <w:kern w:val="0"/>
          <w:sz w:val="32"/>
          <w:szCs w:val="32"/>
          <w:lang w:val="en-US" w:eastAsia="zh-CN"/>
        </w:rPr>
        <w:t>66.33</w:t>
      </w:r>
      <w:r>
        <w:rPr>
          <w:rFonts w:hint="eastAsia" w:ascii="仿宋_GB2312" w:hAnsi="仿宋_GB2312" w:eastAsia="仿宋_GB2312" w:cs="仿宋_GB2312"/>
          <w:kern w:val="0"/>
          <w:sz w:val="32"/>
          <w:szCs w:val="32"/>
          <w:lang w:val="zh-CN"/>
        </w:rPr>
        <w:t>%。具体情况如下：</w:t>
      </w:r>
    </w:p>
    <w:p>
      <w:pPr>
        <w:widowControl/>
        <w:spacing w:line="590" w:lineRule="exact"/>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1．因公出国（境）费</w:t>
      </w:r>
      <w:r>
        <w:rPr>
          <w:rFonts w:hint="eastAsia" w:ascii="仿宋_GB2312" w:hAnsi="仿宋_GB2312" w:eastAsia="仿宋_GB2312" w:cs="仿宋_GB2312"/>
          <w:sz w:val="32"/>
          <w:szCs w:val="32"/>
        </w:rPr>
        <w:t>预算为</w:t>
      </w:r>
      <w:r>
        <w:rPr>
          <w:rFonts w:hint="eastAsia" w:ascii="仿宋_GB2312" w:hAnsi="仿宋_GB2312" w:eastAsia="仿宋_GB2312" w:cs="仿宋_GB2312"/>
          <w:sz w:val="32"/>
          <w:szCs w:val="32"/>
          <w:lang w:val="en-US" w:eastAsia="zh-CN"/>
        </w:rPr>
        <w:t>0.00</w:t>
      </w:r>
      <w:r>
        <w:rPr>
          <w:rFonts w:hint="eastAsia" w:ascii="仿宋_GB2312" w:hAnsi="仿宋_GB2312" w:eastAsia="仿宋_GB2312" w:cs="仿宋_GB2312"/>
          <w:sz w:val="32"/>
          <w:szCs w:val="32"/>
        </w:rPr>
        <w:t>万元，支出决算为</w:t>
      </w:r>
      <w:r>
        <w:rPr>
          <w:rFonts w:hint="eastAsia" w:ascii="仿宋_GB2312" w:hAnsi="仿宋_GB2312" w:eastAsia="仿宋_GB2312" w:cs="仿宋_GB2312"/>
          <w:sz w:val="32"/>
          <w:szCs w:val="32"/>
          <w:lang w:val="en-US" w:eastAsia="zh-CN"/>
        </w:rPr>
        <w:t>0.00</w:t>
      </w:r>
      <w:r>
        <w:rPr>
          <w:rFonts w:hint="eastAsia" w:ascii="仿宋_GB2312" w:hAnsi="仿宋_GB2312" w:eastAsia="仿宋_GB2312" w:cs="仿宋_GB2312"/>
          <w:sz w:val="32"/>
          <w:szCs w:val="32"/>
        </w:rPr>
        <w:t>万元，完成预算的</w:t>
      </w:r>
      <w:r>
        <w:rPr>
          <w:rFonts w:hint="eastAsia" w:ascii="仿宋_GB2312" w:hAnsi="仿宋_GB2312" w:eastAsia="仿宋_GB2312" w:cs="仿宋_GB2312"/>
          <w:sz w:val="32"/>
          <w:szCs w:val="32"/>
          <w:lang w:val="en-US" w:eastAsia="zh-CN"/>
        </w:rPr>
        <w:t>0.00</w:t>
      </w:r>
      <w:r>
        <w:rPr>
          <w:rFonts w:hint="eastAsia" w:ascii="仿宋_GB2312" w:hAnsi="仿宋_GB2312" w:eastAsia="仿宋_GB2312" w:cs="仿宋_GB2312"/>
          <w:sz w:val="32"/>
          <w:szCs w:val="32"/>
        </w:rPr>
        <w:t>%。</w:t>
      </w:r>
    </w:p>
    <w:p>
      <w:pPr>
        <w:widowControl/>
        <w:spacing w:line="590" w:lineRule="exact"/>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2．公务用车购置及运行费</w:t>
      </w:r>
      <w:r>
        <w:rPr>
          <w:rFonts w:hint="eastAsia" w:ascii="仿宋_GB2312" w:hAnsi="仿宋_GB2312" w:eastAsia="仿宋_GB2312" w:cs="仿宋_GB2312"/>
          <w:sz w:val="32"/>
          <w:szCs w:val="32"/>
        </w:rPr>
        <w:t>预算为</w:t>
      </w:r>
      <w:r>
        <w:rPr>
          <w:rFonts w:hint="eastAsia" w:ascii="仿宋_GB2312" w:hAnsi="仿宋_GB2312" w:eastAsia="仿宋_GB2312" w:cs="仿宋_GB2312"/>
          <w:sz w:val="32"/>
          <w:szCs w:val="32"/>
          <w:lang w:val="en-US" w:eastAsia="zh-CN"/>
        </w:rPr>
        <w:t>12.00</w:t>
      </w:r>
      <w:r>
        <w:rPr>
          <w:rFonts w:hint="eastAsia" w:ascii="仿宋_GB2312" w:hAnsi="仿宋_GB2312" w:eastAsia="仿宋_GB2312" w:cs="仿宋_GB2312"/>
          <w:sz w:val="32"/>
          <w:szCs w:val="32"/>
        </w:rPr>
        <w:t>万元，支出决算为</w:t>
      </w:r>
      <w:r>
        <w:rPr>
          <w:rFonts w:hint="eastAsia" w:ascii="仿宋_GB2312" w:hAnsi="仿宋_GB2312" w:eastAsia="仿宋_GB2312" w:cs="仿宋_GB2312"/>
          <w:sz w:val="32"/>
          <w:szCs w:val="32"/>
          <w:lang w:val="en-US" w:eastAsia="zh-CN"/>
        </w:rPr>
        <w:t>5.18</w:t>
      </w:r>
      <w:r>
        <w:rPr>
          <w:rFonts w:hint="eastAsia" w:ascii="仿宋_GB2312" w:hAnsi="仿宋_GB2312" w:eastAsia="仿宋_GB2312" w:cs="仿宋_GB2312"/>
          <w:sz w:val="32"/>
          <w:szCs w:val="32"/>
        </w:rPr>
        <w:t>万元，完成预算的</w:t>
      </w:r>
      <w:r>
        <w:rPr>
          <w:rFonts w:hint="eastAsia" w:ascii="仿宋_GB2312" w:hAnsi="仿宋_GB2312" w:eastAsia="仿宋_GB2312" w:cs="仿宋_GB2312"/>
          <w:sz w:val="32"/>
          <w:szCs w:val="32"/>
          <w:lang w:val="en-US" w:eastAsia="zh-CN"/>
        </w:rPr>
        <w:t>43.18</w:t>
      </w:r>
      <w:r>
        <w:rPr>
          <w:rFonts w:hint="eastAsia" w:ascii="仿宋_GB2312" w:hAnsi="仿宋_GB2312" w:eastAsia="仿宋_GB2312" w:cs="仿宋_GB2312"/>
          <w:sz w:val="32"/>
          <w:szCs w:val="32"/>
        </w:rPr>
        <w:t>%。决算数与预算数存在差异的主要原因是</w:t>
      </w:r>
      <w:r>
        <w:rPr>
          <w:rFonts w:hint="eastAsia" w:ascii="仿宋_GB2312" w:hAnsi="仿宋_GB2312" w:eastAsia="仿宋_GB2312" w:cs="仿宋_GB2312"/>
          <w:sz w:val="32"/>
          <w:szCs w:val="32"/>
          <w:lang w:eastAsia="zh-CN"/>
        </w:rPr>
        <w:t>部分公务用车费用未支付</w:t>
      </w:r>
      <w:r>
        <w:rPr>
          <w:rFonts w:hint="eastAsia" w:ascii="仿宋_GB2312" w:hAnsi="仿宋_GB2312" w:eastAsia="仿宋_GB2312" w:cs="仿宋_GB2312"/>
          <w:sz w:val="32"/>
          <w:szCs w:val="32"/>
        </w:rPr>
        <w:t>。其中：</w:t>
      </w:r>
    </w:p>
    <w:p>
      <w:pPr>
        <w:widowControl/>
        <w:spacing w:line="590" w:lineRule="exact"/>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公务用车购置支出</w:t>
      </w:r>
      <w:r>
        <w:rPr>
          <w:rFonts w:hint="eastAsia" w:ascii="仿宋_GB2312" w:hAnsi="仿宋_GB2312" w:eastAsia="仿宋_GB2312" w:cs="仿宋_GB2312"/>
          <w:sz w:val="32"/>
          <w:szCs w:val="32"/>
        </w:rPr>
        <w:t>为</w:t>
      </w:r>
      <w:r>
        <w:rPr>
          <w:rFonts w:hint="eastAsia" w:ascii="仿宋_GB2312" w:hAnsi="仿宋_GB2312" w:eastAsia="仿宋_GB2312" w:cs="仿宋_GB2312"/>
          <w:sz w:val="32"/>
          <w:szCs w:val="32"/>
          <w:lang w:val="en-US" w:eastAsia="zh-CN"/>
        </w:rPr>
        <w:t>0.00</w:t>
      </w:r>
      <w:r>
        <w:rPr>
          <w:rFonts w:hint="eastAsia" w:ascii="仿宋_GB2312" w:hAnsi="仿宋_GB2312" w:eastAsia="仿宋_GB2312" w:cs="仿宋_GB2312"/>
          <w:sz w:val="32"/>
          <w:szCs w:val="32"/>
        </w:rPr>
        <w:t>万元，购置车辆</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辆。</w:t>
      </w:r>
    </w:p>
    <w:p>
      <w:pPr>
        <w:widowControl/>
        <w:spacing w:line="590" w:lineRule="exact"/>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公务用车运行支出</w:t>
      </w:r>
      <w:r>
        <w:rPr>
          <w:rFonts w:hint="eastAsia" w:ascii="仿宋_GB2312" w:hAnsi="仿宋_GB2312" w:eastAsia="仿宋_GB2312" w:cs="仿宋_GB2312"/>
          <w:sz w:val="32"/>
          <w:szCs w:val="32"/>
          <w:lang w:val="en-US" w:eastAsia="zh-CN"/>
        </w:rPr>
        <w:t>5.18</w:t>
      </w:r>
      <w:r>
        <w:rPr>
          <w:rFonts w:hint="eastAsia" w:ascii="仿宋_GB2312" w:hAnsi="仿宋_GB2312" w:eastAsia="仿宋_GB2312" w:cs="仿宋_GB2312"/>
          <w:sz w:val="32"/>
          <w:szCs w:val="32"/>
        </w:rPr>
        <w:t>万元。主要用于</w:t>
      </w:r>
      <w:r>
        <w:rPr>
          <w:rFonts w:hint="eastAsia" w:ascii="仿宋_GB2312" w:hAnsi="仿宋_GB2312" w:eastAsia="仿宋_GB2312" w:cs="仿宋_GB2312"/>
          <w:sz w:val="32"/>
          <w:szCs w:val="32"/>
          <w:lang w:eastAsia="zh-CN"/>
        </w:rPr>
        <w:t>公务车辆正常运行、维护费用</w:t>
      </w:r>
      <w:r>
        <w:rPr>
          <w:rFonts w:hint="eastAsia" w:ascii="仿宋_GB2312" w:hAnsi="仿宋_GB2312" w:eastAsia="仿宋_GB2312" w:cs="仿宋_GB2312"/>
          <w:sz w:val="32"/>
          <w:szCs w:val="32"/>
        </w:rPr>
        <w:t>。2019年期末，部门开支财政拨款的公务用车保有量为</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辆。</w:t>
      </w:r>
    </w:p>
    <w:p>
      <w:pPr>
        <w:widowControl/>
        <w:spacing w:line="59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公务用车购置及运行费支出决算比上年度减少</w:t>
      </w:r>
      <w:r>
        <w:rPr>
          <w:rFonts w:hint="eastAsia" w:ascii="仿宋_GB2312" w:hAnsi="仿宋_GB2312" w:eastAsia="仿宋_GB2312" w:cs="仿宋_GB2312"/>
          <w:sz w:val="32"/>
          <w:szCs w:val="32"/>
          <w:lang w:val="en-US" w:eastAsia="zh-CN"/>
        </w:rPr>
        <w:t>4.99</w:t>
      </w:r>
      <w:r>
        <w:rPr>
          <w:rFonts w:hint="eastAsia" w:ascii="仿宋_GB2312" w:hAnsi="仿宋_GB2312" w:eastAsia="仿宋_GB2312" w:cs="仿宋_GB2312"/>
          <w:sz w:val="32"/>
          <w:szCs w:val="32"/>
        </w:rPr>
        <w:t>万元，下降</w:t>
      </w:r>
      <w:r>
        <w:rPr>
          <w:rFonts w:hint="eastAsia" w:ascii="仿宋_GB2312" w:hAnsi="仿宋_GB2312" w:eastAsia="仿宋_GB2312" w:cs="仿宋_GB2312"/>
          <w:sz w:val="32"/>
          <w:szCs w:val="32"/>
          <w:lang w:val="en-US" w:eastAsia="zh-CN"/>
        </w:rPr>
        <w:t>49.07</w:t>
      </w:r>
      <w:r>
        <w:rPr>
          <w:rFonts w:hint="eastAsia" w:ascii="仿宋_GB2312" w:hAnsi="仿宋_GB2312" w:eastAsia="仿宋_GB2312" w:cs="仿宋_GB2312"/>
          <w:sz w:val="32"/>
          <w:szCs w:val="32"/>
        </w:rPr>
        <w:t>%,主要原因是</w:t>
      </w:r>
      <w:r>
        <w:rPr>
          <w:rFonts w:hint="eastAsia" w:ascii="仿宋_GB2312" w:hAnsi="仿宋_GB2312" w:eastAsia="仿宋_GB2312" w:cs="仿宋_GB2312"/>
          <w:sz w:val="32"/>
          <w:szCs w:val="32"/>
          <w:lang w:eastAsia="zh-CN"/>
        </w:rPr>
        <w:t>部分公务用车费用未支付</w:t>
      </w:r>
      <w:r>
        <w:rPr>
          <w:rFonts w:hint="eastAsia" w:ascii="仿宋_GB2312" w:hAnsi="仿宋_GB2312" w:eastAsia="仿宋_GB2312" w:cs="仿宋_GB2312"/>
          <w:sz w:val="32"/>
          <w:szCs w:val="32"/>
        </w:rPr>
        <w:t>。</w:t>
      </w:r>
    </w:p>
    <w:p>
      <w:pPr>
        <w:widowControl/>
        <w:spacing w:line="590" w:lineRule="exact"/>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3.公务接待费</w:t>
      </w:r>
      <w:r>
        <w:rPr>
          <w:rFonts w:hint="eastAsia" w:ascii="仿宋_GB2312" w:hAnsi="仿宋_GB2312" w:eastAsia="仿宋_GB2312" w:cs="仿宋_GB2312"/>
          <w:sz w:val="32"/>
          <w:szCs w:val="32"/>
        </w:rPr>
        <w:t>预算为</w:t>
      </w:r>
      <w:r>
        <w:rPr>
          <w:rFonts w:hint="eastAsia" w:ascii="仿宋_GB2312" w:hAnsi="仿宋_GB2312" w:eastAsia="仿宋_GB2312" w:cs="仿宋_GB2312"/>
          <w:sz w:val="32"/>
          <w:szCs w:val="32"/>
          <w:lang w:val="en-US" w:eastAsia="zh-CN"/>
        </w:rPr>
        <w:t>18.20</w:t>
      </w:r>
      <w:r>
        <w:rPr>
          <w:rFonts w:hint="eastAsia" w:ascii="仿宋_GB2312" w:hAnsi="仿宋_GB2312" w:eastAsia="仿宋_GB2312" w:cs="仿宋_GB2312"/>
          <w:sz w:val="32"/>
          <w:szCs w:val="32"/>
        </w:rPr>
        <w:t>万元，支出决算为</w:t>
      </w:r>
      <w:r>
        <w:rPr>
          <w:rFonts w:hint="eastAsia" w:ascii="仿宋_GB2312" w:hAnsi="仿宋_GB2312" w:eastAsia="仿宋_GB2312" w:cs="仿宋_GB2312"/>
          <w:sz w:val="32"/>
          <w:szCs w:val="32"/>
          <w:lang w:val="en-US" w:eastAsia="zh-CN"/>
        </w:rPr>
        <w:t>10.22</w:t>
      </w:r>
      <w:r>
        <w:rPr>
          <w:rFonts w:hint="eastAsia" w:ascii="仿宋_GB2312" w:hAnsi="仿宋_GB2312" w:eastAsia="仿宋_GB2312" w:cs="仿宋_GB2312"/>
          <w:sz w:val="32"/>
          <w:szCs w:val="32"/>
        </w:rPr>
        <w:t>万元，完成预算的</w:t>
      </w:r>
      <w:r>
        <w:rPr>
          <w:rFonts w:hint="eastAsia" w:ascii="仿宋_GB2312" w:hAnsi="仿宋_GB2312" w:eastAsia="仿宋_GB2312" w:cs="仿宋_GB2312"/>
          <w:sz w:val="32"/>
          <w:szCs w:val="32"/>
          <w:lang w:val="en-US" w:eastAsia="zh-CN"/>
        </w:rPr>
        <w:t>56.15</w:t>
      </w:r>
      <w:r>
        <w:rPr>
          <w:rFonts w:hint="eastAsia" w:ascii="仿宋_GB2312" w:hAnsi="仿宋_GB2312" w:eastAsia="仿宋_GB2312" w:cs="仿宋_GB2312"/>
          <w:sz w:val="32"/>
          <w:szCs w:val="32"/>
        </w:rPr>
        <w:t>%。决算数与预算数存在差异的主要原因是</w:t>
      </w:r>
      <w:r>
        <w:rPr>
          <w:rFonts w:hint="eastAsia" w:ascii="仿宋_GB2312" w:hAnsi="仿宋_GB2312" w:eastAsia="仿宋_GB2312" w:cs="仿宋_GB2312"/>
          <w:sz w:val="32"/>
          <w:szCs w:val="32"/>
          <w:lang w:eastAsia="zh-CN"/>
        </w:rPr>
        <w:t>部分公务接待费用未支付</w:t>
      </w:r>
      <w:r>
        <w:rPr>
          <w:rFonts w:hint="eastAsia" w:ascii="仿宋_GB2312" w:hAnsi="仿宋_GB2312" w:eastAsia="仿宋_GB2312" w:cs="仿宋_GB2312"/>
          <w:sz w:val="32"/>
          <w:szCs w:val="32"/>
        </w:rPr>
        <w:t>。其中：</w:t>
      </w:r>
    </w:p>
    <w:p>
      <w:pPr>
        <w:widowControl/>
        <w:spacing w:line="590" w:lineRule="exact"/>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外宾接待支出</w:t>
      </w:r>
      <w:r>
        <w:rPr>
          <w:rFonts w:hint="eastAsia" w:ascii="仿宋_GB2312" w:hAnsi="仿宋_GB2312" w:eastAsia="仿宋_GB2312" w:cs="仿宋_GB2312"/>
          <w:sz w:val="32"/>
          <w:szCs w:val="32"/>
          <w:lang w:val="en-US" w:eastAsia="zh-CN"/>
        </w:rPr>
        <w:t>0.00</w:t>
      </w:r>
      <w:r>
        <w:rPr>
          <w:rFonts w:hint="eastAsia" w:ascii="仿宋_GB2312" w:hAnsi="仿宋_GB2312" w:eastAsia="仿宋_GB2312" w:cs="仿宋_GB2312"/>
          <w:sz w:val="32"/>
          <w:szCs w:val="32"/>
        </w:rPr>
        <w:t>万元。2019年共接待国（境）外来访团组0个、来访外宾0人次（不包括陪同人员）。</w:t>
      </w:r>
    </w:p>
    <w:p>
      <w:pPr>
        <w:widowControl/>
        <w:spacing w:line="590" w:lineRule="exact"/>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其他国内公务接待支出</w:t>
      </w:r>
      <w:r>
        <w:rPr>
          <w:rFonts w:hint="eastAsia" w:ascii="仿宋_GB2312" w:hAnsi="仿宋_GB2312" w:eastAsia="仿宋_GB2312" w:cs="仿宋_GB2312"/>
          <w:sz w:val="32"/>
          <w:szCs w:val="32"/>
          <w:lang w:val="en-US" w:eastAsia="zh-CN"/>
        </w:rPr>
        <w:t>10.22</w:t>
      </w:r>
      <w:r>
        <w:rPr>
          <w:rFonts w:hint="eastAsia" w:ascii="仿宋_GB2312" w:hAnsi="仿宋_GB2312" w:eastAsia="仿宋_GB2312" w:cs="仿宋_GB2312"/>
          <w:sz w:val="32"/>
          <w:szCs w:val="32"/>
        </w:rPr>
        <w:t>万元。主要用于</w:t>
      </w:r>
      <w:r>
        <w:rPr>
          <w:rFonts w:hint="eastAsia" w:ascii="仿宋_GB2312" w:hAnsi="仿宋_GB2312" w:eastAsia="仿宋_GB2312" w:cs="仿宋_GB2312"/>
          <w:sz w:val="32"/>
          <w:szCs w:val="32"/>
          <w:lang w:eastAsia="zh-CN"/>
        </w:rPr>
        <w:t>公务接待</w:t>
      </w:r>
      <w:r>
        <w:rPr>
          <w:rFonts w:hint="eastAsia" w:ascii="仿宋_GB2312" w:hAnsi="仿宋_GB2312" w:eastAsia="仿宋_GB2312" w:cs="仿宋_GB2312"/>
          <w:sz w:val="32"/>
          <w:szCs w:val="32"/>
        </w:rPr>
        <w:t>。2019年共接待国内来访团组</w:t>
      </w:r>
      <w:r>
        <w:rPr>
          <w:rFonts w:hint="eastAsia" w:ascii="仿宋_GB2312" w:hAnsi="仿宋_GB2312" w:eastAsia="仿宋_GB2312" w:cs="仿宋_GB2312"/>
          <w:sz w:val="32"/>
          <w:szCs w:val="32"/>
          <w:lang w:val="en-US" w:eastAsia="zh-CN"/>
        </w:rPr>
        <w:t>289</w:t>
      </w:r>
      <w:r>
        <w:rPr>
          <w:rFonts w:hint="eastAsia" w:ascii="仿宋_GB2312" w:hAnsi="仿宋_GB2312" w:eastAsia="仿宋_GB2312" w:cs="仿宋_GB2312"/>
          <w:sz w:val="32"/>
          <w:szCs w:val="32"/>
        </w:rPr>
        <w:t>个、来宾</w:t>
      </w:r>
      <w:r>
        <w:rPr>
          <w:rFonts w:hint="eastAsia" w:ascii="仿宋_GB2312" w:hAnsi="仿宋_GB2312" w:eastAsia="仿宋_GB2312" w:cs="仿宋_GB2312"/>
          <w:sz w:val="32"/>
          <w:szCs w:val="32"/>
          <w:lang w:val="en-US" w:eastAsia="zh-CN"/>
        </w:rPr>
        <w:t>1848</w:t>
      </w:r>
      <w:r>
        <w:rPr>
          <w:rFonts w:hint="eastAsia" w:ascii="仿宋_GB2312" w:hAnsi="仿宋_GB2312" w:eastAsia="仿宋_GB2312" w:cs="仿宋_GB2312"/>
          <w:sz w:val="32"/>
          <w:szCs w:val="32"/>
        </w:rPr>
        <w:t>人次（不包括陪同人员）。</w:t>
      </w:r>
    </w:p>
    <w:p>
      <w:pPr>
        <w:widowControl/>
        <w:spacing w:line="59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公务接待费支出决算比上年度增加减少</w:t>
      </w:r>
      <w:r>
        <w:rPr>
          <w:rFonts w:hint="eastAsia" w:ascii="仿宋_GB2312" w:hAnsi="仿宋_GB2312" w:eastAsia="仿宋_GB2312" w:cs="仿宋_GB2312"/>
          <w:sz w:val="32"/>
          <w:szCs w:val="32"/>
          <w:lang w:val="en-US" w:eastAsia="zh-CN"/>
        </w:rPr>
        <w:t>2.43</w:t>
      </w:r>
      <w:r>
        <w:rPr>
          <w:rFonts w:hint="eastAsia" w:ascii="仿宋_GB2312" w:hAnsi="仿宋_GB2312" w:eastAsia="仿宋_GB2312" w:cs="仿宋_GB2312"/>
          <w:sz w:val="32"/>
          <w:szCs w:val="32"/>
        </w:rPr>
        <w:t>万元，下降</w:t>
      </w:r>
      <w:r>
        <w:rPr>
          <w:rFonts w:hint="eastAsia" w:ascii="仿宋_GB2312" w:hAnsi="仿宋_GB2312" w:eastAsia="仿宋_GB2312" w:cs="仿宋_GB2312"/>
          <w:sz w:val="32"/>
          <w:szCs w:val="32"/>
          <w:lang w:val="en-US" w:eastAsia="zh-CN"/>
        </w:rPr>
        <w:t>19.21</w:t>
      </w:r>
      <w:r>
        <w:rPr>
          <w:rFonts w:hint="eastAsia" w:ascii="仿宋_GB2312" w:hAnsi="仿宋_GB2312" w:eastAsia="仿宋_GB2312" w:cs="仿宋_GB2312"/>
          <w:sz w:val="32"/>
          <w:szCs w:val="32"/>
        </w:rPr>
        <w:t>%,主要原因是</w:t>
      </w:r>
      <w:r>
        <w:rPr>
          <w:rFonts w:hint="eastAsia" w:ascii="仿宋_GB2312" w:hAnsi="仿宋_GB2312" w:eastAsia="仿宋_GB2312" w:cs="仿宋_GB2312"/>
          <w:sz w:val="32"/>
          <w:szCs w:val="32"/>
          <w:lang w:eastAsia="zh-CN"/>
        </w:rPr>
        <w:t>压缩公务接待</w:t>
      </w:r>
      <w:r>
        <w:rPr>
          <w:rFonts w:hint="eastAsia" w:ascii="仿宋_GB2312" w:hAnsi="仿宋_GB2312" w:eastAsia="仿宋_GB2312" w:cs="仿宋_GB2312"/>
          <w:sz w:val="32"/>
          <w:szCs w:val="32"/>
        </w:rPr>
        <w:t>。</w:t>
      </w:r>
    </w:p>
    <w:p>
      <w:pPr>
        <w:widowControl/>
        <w:spacing w:line="590" w:lineRule="exact"/>
        <w:ind w:firstLine="640" w:firstLineChars="200"/>
        <w:outlineLvl w:val="1"/>
        <w:rPr>
          <w:rFonts w:hint="eastAsia" w:ascii="黑体" w:hAnsi="黑体" w:eastAsia="黑体" w:cs="黑体"/>
          <w:sz w:val="32"/>
          <w:szCs w:val="32"/>
        </w:rPr>
      </w:pPr>
      <w:r>
        <w:rPr>
          <w:rFonts w:hint="eastAsia" w:ascii="黑体" w:hAnsi="黑体" w:eastAsia="黑体" w:cs="黑体"/>
          <w:sz w:val="32"/>
          <w:szCs w:val="32"/>
        </w:rPr>
        <w:t>八、预算绩效情况说明</w:t>
      </w:r>
    </w:p>
    <w:p>
      <w:pPr>
        <w:widowControl/>
        <w:spacing w:line="590" w:lineRule="exact"/>
        <w:ind w:firstLine="643" w:firstLineChars="200"/>
        <w:outlineLvl w:val="2"/>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（一）绩效管理工作开展情况。</w:t>
      </w:r>
    </w:p>
    <w:p>
      <w:pPr>
        <w:autoSpaceDE w:val="0"/>
        <w:autoSpaceDN w:val="0"/>
        <w:adjustRightInd w:val="0"/>
        <w:ind w:firstLine="480" w:firstLineChars="15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以绩效目标实现为导向，进一步加强制度建设，提升自评质量，预算绩效管理取得新成效。</w:t>
      </w:r>
    </w:p>
    <w:p>
      <w:pPr>
        <w:keepNext w:val="0"/>
        <w:keepLines w:val="0"/>
        <w:pageBreakBefore w:val="0"/>
        <w:widowControl w:val="0"/>
        <w:kinsoku/>
        <w:wordWrap/>
        <w:overflowPunct/>
        <w:topLinePunct w:val="0"/>
        <w:autoSpaceDE w:val="0"/>
        <w:autoSpaceDN w:val="0"/>
        <w:bidi w:val="0"/>
        <w:adjustRightInd w:val="0"/>
        <w:snapToGrid/>
        <w:ind w:firstLine="480" w:firstLineChars="15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1.抓好绩效目标编制，及时报送绩效目标。</w:t>
      </w:r>
    </w:p>
    <w:p>
      <w:pPr>
        <w:keepNext w:val="0"/>
        <w:keepLines w:val="0"/>
        <w:pageBreakBefore w:val="0"/>
        <w:widowControl w:val="0"/>
        <w:kinsoku/>
        <w:wordWrap/>
        <w:overflowPunct/>
        <w:topLinePunct w:val="0"/>
        <w:autoSpaceDE w:val="0"/>
        <w:autoSpaceDN w:val="0"/>
        <w:bidi w:val="0"/>
        <w:adjustRightInd w:val="0"/>
        <w:snapToGrid/>
        <w:ind w:firstLine="480" w:firstLineChars="150"/>
        <w:jc w:val="left"/>
        <w:textAlignment w:val="auto"/>
        <w:rPr>
          <w:rFonts w:ascii="仿宋" w:hAnsi="仿宋" w:eastAsia="仿宋"/>
          <w:sz w:val="32"/>
          <w:szCs w:val="32"/>
        </w:rPr>
      </w:pPr>
      <w:r>
        <w:rPr>
          <w:rFonts w:hint="eastAsia" w:ascii="仿宋_GB2312" w:hAnsi="仿宋_GB2312" w:eastAsia="仿宋_GB2312" w:cs="仿宋_GB2312"/>
          <w:sz w:val="32"/>
          <w:szCs w:val="32"/>
        </w:rPr>
        <w:t>2.开展绩效跟踪监控，加强过程监控</w:t>
      </w:r>
      <w:r>
        <w:rPr>
          <w:rFonts w:hint="eastAsia" w:ascii="仿宋" w:hAnsi="仿宋" w:eastAsia="仿宋"/>
          <w:sz w:val="32"/>
          <w:szCs w:val="32"/>
        </w:rPr>
        <w:t>。</w:t>
      </w:r>
    </w:p>
    <w:p>
      <w:pPr>
        <w:keepNext w:val="0"/>
        <w:keepLines w:val="0"/>
        <w:pageBreakBefore w:val="0"/>
        <w:widowControl w:val="0"/>
        <w:kinsoku/>
        <w:wordWrap/>
        <w:overflowPunct/>
        <w:topLinePunct w:val="0"/>
        <w:autoSpaceDE w:val="0"/>
        <w:autoSpaceDN w:val="0"/>
        <w:bidi w:val="0"/>
        <w:adjustRightInd w:val="0"/>
        <w:snapToGrid/>
        <w:ind w:firstLine="480" w:firstLineChars="15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3.深入开展财政预算支出绩效评价，对专项资金实施绩效自评和项目核查，在此基础上形成自评报告。</w:t>
      </w:r>
    </w:p>
    <w:p>
      <w:pPr>
        <w:keepNext w:val="0"/>
        <w:keepLines w:val="0"/>
        <w:pageBreakBefore w:val="0"/>
        <w:widowControl w:val="0"/>
        <w:kinsoku/>
        <w:wordWrap/>
        <w:overflowPunct/>
        <w:topLinePunct w:val="0"/>
        <w:autoSpaceDE w:val="0"/>
        <w:autoSpaceDN w:val="0"/>
        <w:bidi w:val="0"/>
        <w:adjustRightInd w:val="0"/>
        <w:snapToGrid/>
        <w:ind w:firstLine="480" w:firstLineChars="15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4.健全绩效管理工作机制，明确职责分工，努力提高绩效管理工作水平。</w:t>
      </w:r>
    </w:p>
    <w:p>
      <w:pPr>
        <w:widowControl/>
        <w:spacing w:line="590" w:lineRule="exact"/>
        <w:ind w:firstLine="643" w:firstLineChars="200"/>
        <w:outlineLvl w:val="2"/>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（二）项目绩效自评结果。</w:t>
      </w:r>
    </w:p>
    <w:p>
      <w:pPr>
        <w:autoSpaceDE w:val="0"/>
        <w:autoSpaceDN w:val="0"/>
        <w:adjustRightInd w:val="0"/>
        <w:ind w:firstLine="640" w:firstLineChars="200"/>
        <w:jc w:val="left"/>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sz w:val="32"/>
          <w:szCs w:val="32"/>
        </w:rPr>
        <w:t>在上级部门的正确领导下，项目支出达到了阶段性绩效目标和年度绩效目标，所有资金实行专款专用，各项支出均授权审批，资金拨付严格审批程序，使用规范，会计核算结果真实、准确。</w:t>
      </w:r>
    </w:p>
    <w:p>
      <w:pPr>
        <w:widowControl/>
        <w:spacing w:line="590" w:lineRule="exact"/>
        <w:ind w:firstLine="643" w:firstLineChars="200"/>
        <w:outlineLvl w:val="2"/>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（三）重点绩效评价结果。</w:t>
      </w:r>
    </w:p>
    <w:p>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1"/>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一是预算执行到位。严格执行《预算法》和各项财经纪律，机关管理制度健全，财务管理规范，预算编制合理;二是资金监管到位。经费开支按用途使用合理，做到专账专管,专款专用。</w:t>
      </w:r>
      <w:r>
        <w:rPr>
          <w:rFonts w:hint="eastAsia" w:ascii="仿宋_GB2312" w:hAnsi="仿宋_GB2312" w:eastAsia="仿宋_GB2312" w:cs="仿宋_GB2312"/>
          <w:sz w:val="32"/>
          <w:szCs w:val="32"/>
          <w:lang w:eastAsia="zh-CN"/>
        </w:rPr>
        <w:t>三</w:t>
      </w:r>
      <w:r>
        <w:rPr>
          <w:rFonts w:hint="eastAsia" w:ascii="仿宋_GB2312" w:hAnsi="仿宋_GB2312" w:eastAsia="仿宋_GB2312" w:cs="仿宋_GB2312"/>
          <w:sz w:val="32"/>
          <w:szCs w:val="32"/>
        </w:rPr>
        <w:t>是加强项目绩效目标申报管理，加强资金测算，明确项目支出内容，合理申请预算资金；</w:t>
      </w:r>
      <w:r>
        <w:rPr>
          <w:rFonts w:hint="eastAsia" w:ascii="仿宋_GB2312" w:hAnsi="仿宋_GB2312" w:eastAsia="仿宋_GB2312" w:cs="仿宋_GB2312"/>
          <w:sz w:val="32"/>
          <w:szCs w:val="32"/>
          <w:lang w:eastAsia="zh-CN"/>
        </w:rPr>
        <w:t>四</w:t>
      </w:r>
      <w:r>
        <w:rPr>
          <w:rFonts w:hint="eastAsia" w:ascii="仿宋_GB2312" w:hAnsi="仿宋_GB2312" w:eastAsia="仿宋_GB2312" w:cs="仿宋_GB2312"/>
          <w:sz w:val="32"/>
          <w:szCs w:val="32"/>
        </w:rPr>
        <w:t>是规范项目的支出，按照项目预算绩效目标使用资金，严格控制与项目预算绩效目标不相符的资金支出，年中根据需求及时调整预算，避免财政资金闲置。</w:t>
      </w:r>
    </w:p>
    <w:p>
      <w:pPr>
        <w:widowControl/>
        <w:spacing w:line="590" w:lineRule="exact"/>
        <w:ind w:firstLine="640" w:firstLineChars="200"/>
        <w:outlineLvl w:val="1"/>
        <w:rPr>
          <w:rFonts w:hint="eastAsia" w:ascii="黑体" w:hAnsi="黑体" w:eastAsia="黑体" w:cs="黑体"/>
          <w:sz w:val="32"/>
          <w:szCs w:val="32"/>
        </w:rPr>
      </w:pPr>
      <w:r>
        <w:rPr>
          <w:rFonts w:hint="eastAsia" w:ascii="黑体" w:hAnsi="黑体" w:eastAsia="黑体" w:cs="黑体"/>
          <w:sz w:val="32"/>
          <w:szCs w:val="32"/>
        </w:rPr>
        <w:t>九、政府性基金预算财政拨款支出决算情况说明</w:t>
      </w:r>
    </w:p>
    <w:p>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仿宋_GB2312" w:hAnsi="仿宋_GB2312" w:eastAsia="仿宋_GB2312" w:cs="仿宋_GB2312"/>
          <w:kern w:val="0"/>
          <w:sz w:val="32"/>
          <w:szCs w:val="32"/>
          <w:lang w:val="zh-CN"/>
        </w:rPr>
      </w:pPr>
      <w:r>
        <w:rPr>
          <w:rFonts w:hint="eastAsia" w:ascii="仿宋_GB2312" w:hAnsi="仿宋_GB2312" w:eastAsia="仿宋_GB2312" w:cs="仿宋_GB2312"/>
          <w:kern w:val="0"/>
          <w:sz w:val="32"/>
          <w:szCs w:val="32"/>
          <w:lang w:val="zh-CN"/>
        </w:rPr>
        <w:t>2019年度政府性基金预算财政拨款支出年初预算为961.7万元，支出决算为892.63万元，完成年初预算的92.8</w:t>
      </w:r>
      <w:r>
        <w:rPr>
          <w:rFonts w:hint="eastAsia" w:ascii="仿宋_GB2312" w:hAnsi="仿宋_GB2312" w:eastAsia="仿宋_GB2312" w:cs="仿宋_GB2312"/>
          <w:kern w:val="0"/>
          <w:sz w:val="32"/>
          <w:szCs w:val="32"/>
          <w:lang w:val="en-US" w:eastAsia="zh-CN"/>
        </w:rPr>
        <w:t>2</w:t>
      </w:r>
      <w:r>
        <w:rPr>
          <w:rFonts w:hint="eastAsia" w:ascii="仿宋_GB2312" w:hAnsi="仿宋_GB2312" w:eastAsia="仿宋_GB2312" w:cs="仿宋_GB2312"/>
          <w:kern w:val="0"/>
          <w:sz w:val="32"/>
          <w:szCs w:val="32"/>
          <w:lang w:val="zh-CN"/>
        </w:rPr>
        <w:t>%。</w:t>
      </w:r>
      <w:r>
        <w:rPr>
          <w:rFonts w:hint="eastAsia" w:ascii="仿宋_GB2312" w:hAnsi="仿宋_GB2312" w:eastAsia="仿宋_GB2312" w:cs="仿宋_GB2312"/>
          <w:color w:val="auto"/>
          <w:sz w:val="32"/>
          <w:szCs w:val="32"/>
          <w:highlight w:val="none"/>
          <w:lang w:val="en-US" w:eastAsia="zh-CN"/>
        </w:rPr>
        <w:t>主要用于学校体育、社会体育项目以及少年宫运行费用，其中用于体育事业的彩票公益金支出等项目年末结转和结余资金数额较大，主要原因：部分体育项目正在实施，按照合同约定，没有达到付款条件，将根据合同逐步付款。</w:t>
      </w:r>
    </w:p>
    <w:p>
      <w:pPr>
        <w:widowControl/>
        <w:spacing w:line="590" w:lineRule="exact"/>
        <w:ind w:firstLine="640" w:firstLineChars="200"/>
        <w:outlineLvl w:val="1"/>
        <w:rPr>
          <w:rFonts w:hint="eastAsia" w:ascii="黑体" w:hAnsi="黑体" w:eastAsia="黑体" w:cs="黑体"/>
          <w:sz w:val="32"/>
          <w:szCs w:val="32"/>
        </w:rPr>
      </w:pPr>
      <w:r>
        <w:rPr>
          <w:rFonts w:hint="eastAsia" w:ascii="黑体" w:hAnsi="黑体" w:eastAsia="黑体" w:cs="黑体"/>
          <w:sz w:val="32"/>
          <w:szCs w:val="32"/>
        </w:rPr>
        <w:t>十、机关运行经费支出情况说明</w:t>
      </w:r>
    </w:p>
    <w:p>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2019年度机关运行经费初预算为0.00万元，支出决算为0.00万元，完成年初预算的0.00%。</w:t>
      </w:r>
    </w:p>
    <w:p>
      <w:pPr>
        <w:widowControl/>
        <w:spacing w:line="590" w:lineRule="exact"/>
        <w:ind w:firstLine="640" w:firstLineChars="200"/>
        <w:outlineLvl w:val="1"/>
        <w:rPr>
          <w:rFonts w:hint="eastAsia" w:ascii="黑体" w:hAnsi="黑体" w:eastAsia="黑体" w:cs="黑体"/>
          <w:sz w:val="32"/>
          <w:szCs w:val="32"/>
        </w:rPr>
      </w:pPr>
      <w:r>
        <w:rPr>
          <w:rFonts w:hint="eastAsia" w:ascii="黑体" w:hAnsi="黑体" w:eastAsia="黑体" w:cs="黑体"/>
          <w:sz w:val="32"/>
          <w:szCs w:val="32"/>
        </w:rPr>
        <w:t>十一、政府采购支出情况说明</w:t>
      </w:r>
    </w:p>
    <w:p>
      <w:pPr>
        <w:widowControl/>
        <w:spacing w:line="590" w:lineRule="exact"/>
        <w:ind w:firstLine="640" w:firstLineChars="200"/>
        <w:rPr>
          <w:rFonts w:hint="eastAsia" w:ascii="仿宋_GB2312" w:hAnsi="仿宋_GB2312" w:eastAsia="仿宋_GB2312" w:cs="仿宋_GB2312"/>
          <w:color w:val="auto"/>
          <w:sz w:val="36"/>
          <w:szCs w:val="36"/>
          <w:highlight w:val="none"/>
          <w:lang w:val="en-US" w:eastAsia="zh-CN"/>
        </w:rPr>
      </w:pPr>
      <w:r>
        <w:rPr>
          <w:rFonts w:hint="eastAsia" w:ascii="仿宋_GB2312" w:hAnsi="仿宋_GB2312" w:eastAsia="仿宋_GB2312" w:cs="仿宋_GB2312"/>
          <w:color w:val="auto"/>
          <w:sz w:val="32"/>
          <w:szCs w:val="32"/>
          <w:highlight w:val="none"/>
          <w:lang w:val="en-US" w:eastAsia="zh-CN"/>
        </w:rPr>
        <w:t>2019年度教育体育局本级政府采购支出总额259.72万元，其中：政府采购货物支出110.00万元、政府采购工程支出0.00万元、政府采购服务支出149.72万元。</w:t>
      </w:r>
      <w:r>
        <w:rPr>
          <w:rFonts w:hint="eastAsia" w:ascii="仿宋_GB2312" w:hAnsi="仿宋_GB2312" w:eastAsia="仿宋_GB2312" w:cs="仿宋_GB2312"/>
          <w:sz w:val="32"/>
          <w:szCs w:val="32"/>
        </w:rPr>
        <w:t>授予中小企业合同金额</w:t>
      </w:r>
      <w:r>
        <w:rPr>
          <w:rFonts w:hint="eastAsia" w:ascii="仿宋_GB2312" w:hAnsi="仿宋_GB2312" w:eastAsia="仿宋_GB2312" w:cs="仿宋_GB2312"/>
          <w:sz w:val="32"/>
          <w:szCs w:val="32"/>
          <w:lang w:val="en-US" w:eastAsia="zh-CN"/>
        </w:rPr>
        <w:t>259.72</w:t>
      </w:r>
      <w:r>
        <w:rPr>
          <w:rFonts w:hint="eastAsia" w:ascii="仿宋_GB2312" w:hAnsi="仿宋_GB2312" w:eastAsia="仿宋_GB2312" w:cs="仿宋_GB2312"/>
          <w:sz w:val="32"/>
          <w:szCs w:val="32"/>
        </w:rPr>
        <w:t>万元，占政府采购支出总额的</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sz w:val="32"/>
          <w:szCs w:val="32"/>
        </w:rPr>
        <w:t>%，其中：授予小微企业合同金额</w:t>
      </w:r>
      <w:r>
        <w:rPr>
          <w:rFonts w:hint="eastAsia" w:ascii="仿宋_GB2312" w:hAnsi="仿宋_GB2312" w:eastAsia="仿宋_GB2312" w:cs="仿宋_GB2312"/>
          <w:sz w:val="32"/>
          <w:szCs w:val="32"/>
          <w:lang w:val="en-US" w:eastAsia="zh-CN"/>
        </w:rPr>
        <w:t>259.72</w:t>
      </w:r>
      <w:r>
        <w:rPr>
          <w:rFonts w:hint="eastAsia" w:ascii="仿宋_GB2312" w:hAnsi="仿宋_GB2312" w:eastAsia="仿宋_GB2312" w:cs="仿宋_GB2312"/>
          <w:sz w:val="32"/>
          <w:szCs w:val="32"/>
        </w:rPr>
        <w:t>万元，占政府采购支出总额的</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sz w:val="32"/>
          <w:szCs w:val="32"/>
        </w:rPr>
        <w:t>%。</w:t>
      </w:r>
    </w:p>
    <w:p>
      <w:pPr>
        <w:widowControl/>
        <w:spacing w:line="590" w:lineRule="exact"/>
        <w:ind w:firstLine="640" w:firstLineChars="200"/>
        <w:outlineLvl w:val="1"/>
        <w:rPr>
          <w:rFonts w:hint="eastAsia" w:ascii="黑体" w:hAnsi="黑体" w:eastAsia="黑体" w:cs="黑体"/>
          <w:sz w:val="32"/>
          <w:szCs w:val="32"/>
        </w:rPr>
      </w:pPr>
      <w:r>
        <w:rPr>
          <w:rFonts w:hint="eastAsia" w:ascii="黑体" w:hAnsi="黑体" w:eastAsia="黑体" w:cs="黑体"/>
          <w:sz w:val="32"/>
          <w:szCs w:val="32"/>
        </w:rPr>
        <w:t>十二、国有资产占用情况说明</w:t>
      </w:r>
    </w:p>
    <w:p>
      <w:pPr>
        <w:spacing w:beforeLines="0" w:afterLines="0"/>
        <w:ind w:firstLine="640" w:firstLineChars="200"/>
        <w:jc w:val="left"/>
        <w:rPr>
          <w:rFonts w:hint="eastAsia" w:ascii="仿宋_GB2312" w:hAnsi="仿宋_GB2312" w:eastAsia="仿宋_GB2312" w:cs="仿宋_GB2312"/>
          <w:kern w:val="0"/>
          <w:sz w:val="32"/>
          <w:szCs w:val="32"/>
          <w:lang w:val="zh-CN"/>
        </w:rPr>
      </w:pPr>
      <w:r>
        <w:rPr>
          <w:rFonts w:hint="eastAsia" w:ascii="仿宋_GB2312" w:hAnsi="仿宋_GB2312" w:eastAsia="仿宋_GB2312" w:cs="仿宋_GB2312"/>
          <w:kern w:val="0"/>
          <w:sz w:val="32"/>
          <w:szCs w:val="32"/>
          <w:lang w:val="zh-CN"/>
        </w:rPr>
        <w:t>2019年期末，我部门共有车辆4辆，其中：省级领导干部用车0辆、主要领导干部用车0辆、机要通信用车0辆、应急保障车0辆、执法执勤用车0辆、特种专业技术用车0辆、离退休干部用车0辆、其他用车4辆；单位价值50万元以上通用设备0台（套），单位价值100万元以上专用设备0台（套）。</w:t>
      </w:r>
    </w:p>
    <w:p>
      <w:pPr>
        <w:widowControl/>
        <w:jc w:val="left"/>
        <w:rPr>
          <w:rFonts w:hint="eastAsia" w:ascii="仿宋" w:hAnsi="仿宋" w:eastAsia="仿宋" w:cs="仿宋"/>
          <w:kern w:val="0"/>
          <w:sz w:val="32"/>
          <w:szCs w:val="32"/>
        </w:rPr>
      </w:pPr>
    </w:p>
    <w:p>
      <w:pPr>
        <w:widowControl/>
        <w:jc w:val="left"/>
        <w:rPr>
          <w:rFonts w:hint="eastAsia" w:ascii="黑体" w:hAnsi="宋体" w:eastAsia="黑体" w:cs="宋体"/>
          <w:kern w:val="0"/>
          <w:sz w:val="28"/>
          <w:szCs w:val="28"/>
        </w:rPr>
      </w:pPr>
    </w:p>
    <w:p>
      <w:pPr>
        <w:widowControl/>
        <w:jc w:val="left"/>
        <w:rPr>
          <w:rFonts w:hint="eastAsia" w:ascii="黑体" w:hAnsi="宋体" w:eastAsia="黑体" w:cs="宋体"/>
          <w:kern w:val="0"/>
          <w:sz w:val="28"/>
          <w:szCs w:val="28"/>
        </w:rPr>
      </w:pPr>
    </w:p>
    <w:p>
      <w:pPr>
        <w:widowControl/>
        <w:jc w:val="left"/>
        <w:rPr>
          <w:rFonts w:hint="eastAsia" w:ascii="黑体" w:hAnsi="宋体" w:eastAsia="黑体" w:cs="宋体"/>
          <w:kern w:val="0"/>
          <w:sz w:val="28"/>
          <w:szCs w:val="28"/>
        </w:rPr>
      </w:pPr>
    </w:p>
    <w:p>
      <w:pPr>
        <w:widowControl/>
        <w:jc w:val="left"/>
        <w:rPr>
          <w:rFonts w:hint="eastAsia" w:ascii="黑体" w:hAnsi="宋体" w:eastAsia="黑体" w:cs="宋体"/>
          <w:kern w:val="0"/>
          <w:sz w:val="28"/>
          <w:szCs w:val="28"/>
        </w:rPr>
      </w:pPr>
    </w:p>
    <w:p>
      <w:pPr>
        <w:widowControl/>
        <w:jc w:val="left"/>
        <w:rPr>
          <w:rFonts w:hint="eastAsia" w:ascii="黑体" w:hAnsi="宋体" w:eastAsia="黑体" w:cs="宋体"/>
          <w:kern w:val="0"/>
          <w:sz w:val="28"/>
          <w:szCs w:val="28"/>
        </w:rPr>
      </w:pPr>
    </w:p>
    <w:p>
      <w:pPr>
        <w:widowControl/>
        <w:jc w:val="left"/>
        <w:rPr>
          <w:rFonts w:hint="eastAsia" w:ascii="黑体" w:hAnsi="宋体" w:eastAsia="黑体" w:cs="宋体"/>
          <w:kern w:val="0"/>
          <w:sz w:val="28"/>
          <w:szCs w:val="28"/>
        </w:rPr>
      </w:pPr>
    </w:p>
    <w:p>
      <w:pPr>
        <w:widowControl/>
        <w:jc w:val="left"/>
        <w:rPr>
          <w:rFonts w:hint="eastAsia" w:ascii="黑体" w:hAnsi="宋体" w:eastAsia="黑体" w:cs="宋体"/>
          <w:kern w:val="0"/>
          <w:sz w:val="28"/>
          <w:szCs w:val="28"/>
        </w:rPr>
      </w:pPr>
    </w:p>
    <w:p>
      <w:pPr>
        <w:widowControl/>
        <w:jc w:val="left"/>
        <w:rPr>
          <w:rFonts w:hint="eastAsia" w:ascii="黑体" w:hAnsi="宋体" w:eastAsia="黑体" w:cs="宋体"/>
          <w:kern w:val="0"/>
          <w:sz w:val="28"/>
          <w:szCs w:val="28"/>
        </w:rPr>
      </w:pPr>
    </w:p>
    <w:p>
      <w:pPr>
        <w:widowControl/>
        <w:jc w:val="left"/>
        <w:rPr>
          <w:rFonts w:hint="eastAsia" w:ascii="黑体" w:hAnsi="宋体" w:eastAsia="黑体" w:cs="宋体"/>
          <w:kern w:val="0"/>
          <w:sz w:val="28"/>
          <w:szCs w:val="28"/>
        </w:rPr>
      </w:pPr>
    </w:p>
    <w:p>
      <w:pPr>
        <w:widowControl/>
        <w:jc w:val="left"/>
        <w:rPr>
          <w:rFonts w:hint="eastAsia" w:ascii="黑体" w:hAnsi="宋体" w:eastAsia="黑体" w:cs="宋体"/>
          <w:kern w:val="0"/>
          <w:sz w:val="28"/>
          <w:szCs w:val="28"/>
        </w:rPr>
      </w:pPr>
    </w:p>
    <w:p>
      <w:pPr>
        <w:widowControl/>
        <w:jc w:val="left"/>
        <w:rPr>
          <w:rFonts w:hint="eastAsia" w:ascii="黑体" w:hAnsi="宋体" w:eastAsia="黑体" w:cs="宋体"/>
          <w:kern w:val="0"/>
          <w:sz w:val="28"/>
          <w:szCs w:val="28"/>
        </w:rPr>
      </w:pPr>
    </w:p>
    <w:p>
      <w:pPr>
        <w:widowControl/>
        <w:jc w:val="left"/>
        <w:rPr>
          <w:rFonts w:hint="eastAsia" w:ascii="黑体" w:hAnsi="宋体" w:eastAsia="黑体" w:cs="宋体"/>
          <w:kern w:val="0"/>
          <w:sz w:val="28"/>
          <w:szCs w:val="28"/>
        </w:rPr>
      </w:pPr>
    </w:p>
    <w:p>
      <w:pPr>
        <w:widowControl/>
        <w:jc w:val="left"/>
        <w:rPr>
          <w:rFonts w:hint="eastAsia" w:ascii="黑体" w:hAnsi="宋体" w:eastAsia="黑体" w:cs="宋体"/>
          <w:kern w:val="0"/>
          <w:sz w:val="28"/>
          <w:szCs w:val="28"/>
        </w:rPr>
      </w:pPr>
    </w:p>
    <w:p>
      <w:pPr>
        <w:widowControl/>
        <w:jc w:val="left"/>
        <w:rPr>
          <w:rFonts w:hint="eastAsia" w:ascii="黑体" w:hAnsi="宋体" w:eastAsia="黑体" w:cs="宋体"/>
          <w:kern w:val="0"/>
          <w:sz w:val="28"/>
          <w:szCs w:val="28"/>
        </w:rPr>
      </w:pPr>
    </w:p>
    <w:p>
      <w:pPr>
        <w:jc w:val="center"/>
        <w:outlineLvl w:val="0"/>
        <w:rPr>
          <w:rFonts w:hint="eastAsia" w:ascii="黑体" w:hAnsi="黑体" w:eastAsia="黑体" w:cs="黑体"/>
          <w:sz w:val="48"/>
          <w:szCs w:val="48"/>
        </w:rPr>
      </w:pPr>
      <w:r>
        <w:rPr>
          <w:rFonts w:hint="eastAsia" w:ascii="黑体" w:hAnsi="黑体" w:eastAsia="黑体" w:cs="黑体"/>
          <w:sz w:val="48"/>
          <w:szCs w:val="48"/>
        </w:rPr>
        <w:t>第四部分  名词解释</w:t>
      </w:r>
    </w:p>
    <w:p>
      <w:pPr>
        <w:jc w:val="center"/>
        <w:rPr>
          <w:rFonts w:hint="eastAsia" w:ascii="黑体" w:hAnsi="黑体" w:eastAsia="黑体" w:cs="黑体"/>
          <w:sz w:val="48"/>
          <w:szCs w:val="48"/>
        </w:rPr>
      </w:pPr>
    </w:p>
    <w:p>
      <w:pPr>
        <w:jc w:val="center"/>
        <w:outlineLvl w:val="0"/>
        <w:rPr>
          <w:rFonts w:hint="eastAsia" w:ascii="黑体" w:hAnsi="黑体" w:eastAsia="黑体" w:cs="黑体"/>
          <w:sz w:val="48"/>
          <w:szCs w:val="48"/>
        </w:rPr>
        <w:sectPr>
          <w:pgSz w:w="11906" w:h="16838"/>
          <w:pgMar w:top="1440" w:right="1531" w:bottom="1440" w:left="1587" w:header="850" w:footer="992" w:gutter="0"/>
          <w:pgNumType w:fmt="numberInDash"/>
          <w:cols w:space="720" w:num="1"/>
          <w:docGrid w:type="lines" w:linePitch="317" w:charSpace="0"/>
        </w:sectPr>
      </w:pPr>
    </w:p>
    <w:p>
      <w:pPr>
        <w:widowControl/>
        <w:spacing w:line="59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一、财政拨款收入：单位从同级政府财政部门取得的财政预算资金。</w:t>
      </w:r>
    </w:p>
    <w:p>
      <w:pPr>
        <w:widowControl/>
        <w:spacing w:line="59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二、事业收入：事业单位开展专业业务活动及其辅助活动取得的收入。</w:t>
      </w:r>
    </w:p>
    <w:p>
      <w:pPr>
        <w:widowControl/>
        <w:spacing w:line="59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三、上级补助收入：事业单位从主管部门和上级单位取得的非财政补助收入。</w:t>
      </w:r>
    </w:p>
    <w:p>
      <w:pPr>
        <w:widowControl/>
        <w:spacing w:line="59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四、附属单位上缴收入：事业单位取得附属独立核算单位根据有关规定上缴的收入。</w:t>
      </w:r>
    </w:p>
    <w:p>
      <w:pPr>
        <w:widowControl/>
        <w:spacing w:line="59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五、经营收入：事业单位在专业业务活动及其辅助活动之外开展非独立核算经营活动取得的收入。</w:t>
      </w:r>
    </w:p>
    <w:p>
      <w:pPr>
        <w:widowControl/>
        <w:spacing w:line="59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六、其他收入：单位取得的除“财政拨款收入”、“事业收入”、“上级补助收入”、“附属单位上缴收入”、“经营收入”以外的各项收入。</w:t>
      </w:r>
    </w:p>
    <w:p>
      <w:pPr>
        <w:widowControl/>
        <w:spacing w:line="59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用事业基金弥补收支差额：事业单位在当年收入不足以安排当年支出的情况下，使用以前年度积累的事业基金（事业单位当年收支相抵后按国家规定提取、用于弥补以后年度收支差额的基金）弥补当年收支缺口的资金。</w:t>
      </w:r>
    </w:p>
    <w:p>
      <w:pPr>
        <w:widowControl/>
        <w:spacing w:line="59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八、基本支出：为保障机构正常运转、完成日常工作任务而发生的人员支出和公用支出。</w:t>
      </w:r>
    </w:p>
    <w:p>
      <w:pPr>
        <w:widowControl/>
        <w:spacing w:line="59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九、项目支出：基本支出之外为完成特定行政任务和事业发展目标所发生的支出。</w:t>
      </w:r>
    </w:p>
    <w:p>
      <w:pPr>
        <w:widowControl/>
        <w:spacing w:line="59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三公”经费：纳入同级财政预决算管理“三公”经费，指部门使用财政拨款安排的因公出国（境）费、公务用车购置及运行费和公务接待费。其中，因公出国（境）费反映单位公务出国（境）的国际旅费、国外城市间交通费、住宿费、伙食费、培训费、公杂费等支出；公务用车购置及运行费反映反映单位公务用车车辆购置支出（含车辆购置税）及租用费、燃料费、维修费、过路过桥费、保险费、安全奖励费用等支出；公务接待费反映单位按规定开支的各类公务接待（含外宾接待）支出。</w:t>
      </w:r>
    </w:p>
    <w:p>
      <w:pPr>
        <w:widowControl/>
        <w:spacing w:line="59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一、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widowControl/>
        <w:spacing w:line="59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十二、工资福利支出：单位支付给在职职工和编制外长期聘用人员的各类劳动报酬，以及为上述人员缴纳的各项社会保险费等。</w:t>
      </w:r>
    </w:p>
    <w:p>
      <w:pPr>
        <w:widowControl/>
        <w:spacing w:line="59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十三、商品和服务支出：单位购买商品和服务的支出。</w:t>
      </w:r>
    </w:p>
    <w:p>
      <w:pPr>
        <w:widowControl/>
        <w:spacing w:line="59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十四、对个人和家庭的补助支出：单位用于对个人和家庭的补助支出。</w:t>
      </w:r>
    </w:p>
    <w:p>
      <w:pPr>
        <w:widowControl/>
        <w:spacing w:line="59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十五、年末结转：本年度或以前年度预算安排，已执行但尚未完成或因客观条件发生变化无法按原计划实施，需延迟到以后年度按有关规定继续使用的资金。</w:t>
      </w:r>
    </w:p>
    <w:p>
      <w:pPr>
        <w:widowControl/>
        <w:spacing w:line="59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十六、年末结余：本年度或以前年度预算安排，已执行完毕或因客观条件发生变化无法按原预算安排实施，不需要再使用或无法按原预算安排继续使用的资金</w:t>
      </w:r>
    </w:p>
    <w:p/>
    <w:sectPr>
      <w:pgSz w:w="11906" w:h="16838"/>
      <w:pgMar w:top="1928" w:right="1474" w:bottom="1701" w:left="1588"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00007A87" w:usb1="80000000" w:usb2="00000008" w:usb3="00000000" w:csb0="400001FF" w:csb1="FFFF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altName w:val="Bookshelf Symbol 7"/>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Bookshelf Symbol 7">
    <w:panose1 w:val="05010101010101010101"/>
    <w:charset w:val="00"/>
    <w:family w:val="auto"/>
    <w:pitch w:val="default"/>
    <w:sig w:usb0="00000000" w:usb1="00000000" w:usb2="00000000" w:usb3="00000000" w:csb0="80000000" w:csb1="00000000"/>
  </w:font>
  <w:font w:name="仿宋_GB2312">
    <w:panose1 w:val="02010609030101010101"/>
    <w:charset w:val="86"/>
    <w:family w:val="modern"/>
    <w:pitch w:val="default"/>
    <w:sig w:usb0="00000001" w:usb1="080E0000" w:usb2="00000000" w:usb3="00000000" w:csb0="00040000" w:csb1="00000000"/>
  </w:font>
  <w:font w:name="仿宋">
    <w:altName w:val="宋体"/>
    <w:panose1 w:val="02010609060101010101"/>
    <w:charset w:val="86"/>
    <w:family w:val="auto"/>
    <w:pitch w:val="default"/>
    <w:sig w:usb0="00000000" w:usb1="00000000" w:usb2="00000016" w:usb3="00000000" w:csb0="00040001"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205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- 21 -</w:t>
                          </w:r>
                          <w:r>
                            <w:rPr>
                              <w:rFonts w:hint="eastAsia"/>
                              <w:sz w:val="18"/>
                            </w:rPr>
                            <w:fldChar w:fldCharType="end"/>
                          </w:r>
                        </w:p>
                      </w:txbxContent>
                    </wps:txbx>
                    <wps:bodyPr wrap="none" lIns="0" tIns="0" rIns="0" bIns="0" upright="0">
                      <a:spAutoFit/>
                    </wps:bodyPr>
                  </wps:wsp>
                </a:graphicData>
              </a:graphic>
            </wp:anchor>
          </w:drawing>
        </mc:Choice>
        <mc:Fallback>
          <w:pict>
            <v:shape id="文本框 2054"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DOqXm5zwAAAAUBAAAPAAAAAAAAAAEAIAAAACIAAABkcnMv&#10;ZG93bnJldi54bWxQSwECFAAUAAAACACHTuJAwF90idMBAAClAwAADgAAAAAAAAABACAAAAAeAQAA&#10;ZHJzL2Uyb0RvYy54bWxQSwUGAAAAAAYABgBZAQAAYwUAAAAA&#10;">
              <v:fill on="f" focussize="0,0"/>
              <v:stroke on="f"/>
              <v:imagedata o:title=""/>
              <o:lock v:ext="edit" aspectratio="f"/>
              <v:textbox inset="0mm,0mm,0mm,0mm" style="mso-fit-shape-to-text:t;">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- 21 -</w:t>
                    </w:r>
                    <w:r>
                      <w:rPr>
                        <w:rFonts w:hint="eastAsia"/>
                        <w:sz w:val="18"/>
                      </w:rPr>
                      <w:fldChar w:fldCharType="end"/>
                    </w:r>
                  </w:p>
                </w:txbxContent>
              </v:textbox>
            </v:shape>
          </w:pict>
        </mc:Fallback>
      </mc:AlternateContent>
    </w:r>
    <w: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0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rPr>
                              <w:rFonts w:hint="eastAsia"/>
                            </w:rPr>
                          </w:pPr>
                        </w:p>
                      </w:txbxContent>
                    </wps:txbx>
                    <wps:bodyPr wrap="none" lIns="0" tIns="0" rIns="0" bIns="0" upright="0">
                      <a:spAutoFit/>
                    </wps:bodyPr>
                  </wps:wsp>
                </a:graphicData>
              </a:graphic>
            </wp:anchor>
          </w:drawing>
        </mc:Choice>
        <mc:Fallback>
          <w:pict>
            <v:shape id="文本框 1027"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&#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zql5uc8AAAAFAQAADwAAAAAAAAABACAAAAAiAAAAZHJz&#10;L2Rvd25yZXYueG1sUEsBAhQAFAAAAAgAh07iQOPeVx/UAQAApQMAAA4AAAAAAAAAAQAgAAAAHgEA&#10;AGRycy9lMm9Eb2MueG1sUEsFBgAAAAAGAAYAWQEAAGQFAAAAAA==&#10;">
              <v:fill on="f" focussize="0,0"/>
              <v:stroke on="f"/>
              <v:imagedata o:title=""/>
              <o:lock v:ext="edit" aspectratio="f"/>
              <v:textbox inset="0mm,0mm,0mm,0mm" style="mso-fit-shape-to-text:t;">
                <w:txbxContent>
                  <w:p>
                    <w:pPr>
                      <w:rPr>
                        <w:rFonts w:hint="eastAsia"/>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205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- 22 -</w:t>
                          </w:r>
                          <w:r>
                            <w:rPr>
                              <w:rFonts w:hint="eastAsia"/>
                              <w:sz w:val="18"/>
                            </w:rPr>
                            <w:fldChar w:fldCharType="end"/>
                          </w:r>
                        </w:p>
                      </w:txbxContent>
                    </wps:txbx>
                    <wps:bodyPr wrap="none" lIns="0" tIns="0" rIns="0" bIns="0" upright="0">
                      <a:spAutoFit/>
                    </wps:bodyPr>
                  </wps:wsp>
                </a:graphicData>
              </a:graphic>
            </wp:anchor>
          </w:drawing>
        </mc:Choice>
        <mc:Fallback>
          <w:pict>
            <v:shape id="文本框 2055"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&#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zql5uc8AAAAFAQAADwAAAAAAAAABACAAAAAiAAAAZHJz&#10;L2Rvd25yZXYueG1sUEsBAhQAFAAAAAgAh07iQBuuGmrUAQAApQMAAA4AAAAAAAAAAQAgAAAAHgEA&#10;AGRycy9lMm9Eb2MueG1sUEsFBgAAAAAGAAYAWQEAAGQFAAAAAA==&#10;">
              <v:fill on="f" focussize="0,0"/>
              <v:stroke on="f"/>
              <v:imagedata o:title=""/>
              <o:lock v:ext="edit" aspectratio="f"/>
              <v:textbox inset="0mm,0mm,0mm,0mm" style="mso-fit-shape-to-text:t;">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- 22 -</w:t>
                    </w:r>
                    <w:r>
                      <w:rPr>
                        <w:rFonts w:hint="eastAsia"/>
                        <w:sz w:val="1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2260200"/>
    <w:multiLevelType w:val="singleLevel"/>
    <w:tmpl w:val="42260200"/>
    <w:lvl w:ilvl="0" w:tentative="0">
      <w:start w:val="1"/>
      <w:numFmt w:val="decimal"/>
      <w:suff w:val="nothing"/>
      <w:lvlText w:val="%1．"/>
      <w:lvlJc w:val="left"/>
    </w:lvl>
  </w:abstractNum>
  <w:abstractNum w:abstractNumId="1">
    <w:nsid w:val="5971BE17"/>
    <w:multiLevelType w:val="singleLevel"/>
    <w:tmpl w:val="5971BE17"/>
    <w:lvl w:ilvl="0" w:tentative="0">
      <w:start w:val="1"/>
      <w:numFmt w:val="chineseCounting"/>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1B95437"/>
    <w:rsid w:val="03C30617"/>
    <w:rsid w:val="06067A79"/>
    <w:rsid w:val="07E539FE"/>
    <w:rsid w:val="0AD73447"/>
    <w:rsid w:val="0B474BEF"/>
    <w:rsid w:val="0D092F25"/>
    <w:rsid w:val="0E3E0D3C"/>
    <w:rsid w:val="0E9120C7"/>
    <w:rsid w:val="117B451B"/>
    <w:rsid w:val="11E33B1A"/>
    <w:rsid w:val="13361E01"/>
    <w:rsid w:val="14E333C6"/>
    <w:rsid w:val="15F64800"/>
    <w:rsid w:val="162864FE"/>
    <w:rsid w:val="16445AFB"/>
    <w:rsid w:val="18005DA3"/>
    <w:rsid w:val="18AB7BD8"/>
    <w:rsid w:val="1A9B1530"/>
    <w:rsid w:val="1C4B0564"/>
    <w:rsid w:val="1D007D38"/>
    <w:rsid w:val="1D81498C"/>
    <w:rsid w:val="1EAF1A9D"/>
    <w:rsid w:val="201D28E8"/>
    <w:rsid w:val="21D5588C"/>
    <w:rsid w:val="21DC286A"/>
    <w:rsid w:val="240E06F2"/>
    <w:rsid w:val="27772673"/>
    <w:rsid w:val="29D656E8"/>
    <w:rsid w:val="2A3561E6"/>
    <w:rsid w:val="2C082F54"/>
    <w:rsid w:val="2D5347F6"/>
    <w:rsid w:val="31E56EEB"/>
    <w:rsid w:val="339E785C"/>
    <w:rsid w:val="36160342"/>
    <w:rsid w:val="3690275C"/>
    <w:rsid w:val="3B270CDE"/>
    <w:rsid w:val="3D4D3AD8"/>
    <w:rsid w:val="3DD55FE8"/>
    <w:rsid w:val="3E4C25CA"/>
    <w:rsid w:val="3EBD3AEA"/>
    <w:rsid w:val="3F3930F0"/>
    <w:rsid w:val="404426E4"/>
    <w:rsid w:val="42B20040"/>
    <w:rsid w:val="431458B7"/>
    <w:rsid w:val="438C38C4"/>
    <w:rsid w:val="44CE2817"/>
    <w:rsid w:val="451D199C"/>
    <w:rsid w:val="45DC64A2"/>
    <w:rsid w:val="4701142B"/>
    <w:rsid w:val="48485090"/>
    <w:rsid w:val="490407AA"/>
    <w:rsid w:val="497A2108"/>
    <w:rsid w:val="4C996875"/>
    <w:rsid w:val="4CB76902"/>
    <w:rsid w:val="4EFC09E4"/>
    <w:rsid w:val="52EB4F0E"/>
    <w:rsid w:val="570D7A9A"/>
    <w:rsid w:val="57873702"/>
    <w:rsid w:val="587F2E51"/>
    <w:rsid w:val="5A30494F"/>
    <w:rsid w:val="5F267729"/>
    <w:rsid w:val="5F554CAC"/>
    <w:rsid w:val="601E771F"/>
    <w:rsid w:val="60FC2D08"/>
    <w:rsid w:val="63491222"/>
    <w:rsid w:val="636356D8"/>
    <w:rsid w:val="636B63A5"/>
    <w:rsid w:val="638B5047"/>
    <w:rsid w:val="65D728FD"/>
    <w:rsid w:val="66055332"/>
    <w:rsid w:val="684C7743"/>
    <w:rsid w:val="69305759"/>
    <w:rsid w:val="6BE21C89"/>
    <w:rsid w:val="6C5F74D9"/>
    <w:rsid w:val="6CC97B80"/>
    <w:rsid w:val="6DD472DF"/>
    <w:rsid w:val="753202C9"/>
    <w:rsid w:val="75CE257F"/>
    <w:rsid w:val="77D144FF"/>
    <w:rsid w:val="78935FDC"/>
    <w:rsid w:val="78D2728A"/>
    <w:rsid w:val="78FE31E7"/>
    <w:rsid w:val="7A377595"/>
    <w:rsid w:val="7A822667"/>
    <w:rsid w:val="7AD63B40"/>
    <w:rsid w:val="7B010E37"/>
    <w:rsid w:val="7B65600D"/>
    <w:rsid w:val="7BA8215D"/>
    <w:rsid w:val="7C0337E6"/>
    <w:rsid w:val="7C3234BD"/>
    <w:rsid w:val="7EAB06B7"/>
    <w:rsid w:val="7FC3021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qFormat/>
    <w:uiPriority w:val="0"/>
  </w:style>
  <w:style w:type="table" w:default="1" w:styleId="4">
    <w:name w:val="Normal Tabl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eastAsia="Times New Roman" w:cs="Times New Roman"/>
      <w:sz w:val="20"/>
      <w:szCs w:val="20"/>
    </w:rPr>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footer"/>
    <w:basedOn w:val="1"/>
    <w:qFormat/>
    <w:uiPriority w:val="0"/>
    <w:pPr>
      <w:tabs>
        <w:tab w:val="center" w:pos="4153"/>
        <w:tab w:val="right" w:pos="8306"/>
      </w:tabs>
      <w:snapToGrid w:val="0"/>
      <w:jc w:val="left"/>
    </w:pPr>
    <w:rPr>
      <w:sz w:val="18"/>
      <w:szCs w:val="18"/>
    </w:rPr>
  </w:style>
  <w:style w:type="character" w:styleId="6">
    <w:name w:val="annotation reference"/>
    <w:basedOn w:val="5"/>
    <w:qFormat/>
    <w:uiPriority w:val="0"/>
    <w:rPr>
      <w:sz w:val="21"/>
      <w:szCs w:val="21"/>
    </w:rPr>
  </w:style>
  <w:style w:type="character" w:customStyle="1" w:styleId="7">
    <w:name w:val="font11"/>
    <w:basedOn w:val="5"/>
    <w:qFormat/>
    <w:uiPriority w:val="0"/>
    <w:rPr>
      <w:rFonts w:hint="eastAsia" w:ascii="宋体" w:hAnsi="宋体" w:eastAsia="宋体" w:cs="宋体"/>
      <w:color w:val="000000"/>
      <w:sz w:val="20"/>
      <w:szCs w:val="20"/>
      <w:u w:val="none"/>
    </w:rPr>
  </w:style>
  <w:style w:type="character" w:customStyle="1" w:styleId="8">
    <w:name w:val="font01"/>
    <w:basedOn w:val="5"/>
    <w:qFormat/>
    <w:uiPriority w:val="0"/>
    <w:rPr>
      <w:rFonts w:hint="eastAsia" w:ascii="宋体" w:hAnsi="宋体" w:eastAsia="宋体" w:cs="宋体"/>
      <w:color w:val="000000"/>
      <w:sz w:val="22"/>
      <w:szCs w:val="22"/>
      <w:u w:val="none"/>
    </w:rPr>
  </w:style>
  <w:style w:type="character" w:customStyle="1" w:styleId="9">
    <w:name w:val="font51"/>
    <w:basedOn w:val="5"/>
    <w:qFormat/>
    <w:uiPriority w:val="0"/>
    <w:rPr>
      <w:rFonts w:hint="eastAsia" w:ascii="宋体" w:hAnsi="宋体" w:eastAsia="宋体" w:cs="宋体"/>
      <w:color w:val="000000"/>
      <w:sz w:val="24"/>
      <w:szCs w:val="24"/>
      <w:u w:val="none"/>
    </w:rPr>
  </w:style>
  <w:style w:type="character" w:customStyle="1" w:styleId="10">
    <w:name w:val="font41"/>
    <w:basedOn w:val="5"/>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image" Target="media/image2.emf"/><Relationship Id="rId8" Type="http://schemas.openxmlformats.org/officeDocument/2006/relationships/oleObject" Target="embeddings/oleObject2.bin"/><Relationship Id="rId7" Type="http://schemas.openxmlformats.org/officeDocument/2006/relationships/image" Target="media/image1.emf"/><Relationship Id="rId6" Type="http://schemas.openxmlformats.org/officeDocument/2006/relationships/oleObject" Target="embeddings/oleObject1.bin"/><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4" Type="http://schemas.openxmlformats.org/officeDocument/2006/relationships/fontTable" Target="fontTable.xml"/><Relationship Id="rId23" Type="http://schemas.openxmlformats.org/officeDocument/2006/relationships/numbering" Target="numbering.xml"/><Relationship Id="rId22" Type="http://schemas.openxmlformats.org/officeDocument/2006/relationships/customXml" Target="../customXml/item1.xml"/><Relationship Id="rId21" Type="http://schemas.openxmlformats.org/officeDocument/2006/relationships/image" Target="media/image8.emf"/><Relationship Id="rId20" Type="http://schemas.openxmlformats.org/officeDocument/2006/relationships/oleObject" Target="embeddings/oleObject8.bin"/><Relationship Id="rId2" Type="http://schemas.openxmlformats.org/officeDocument/2006/relationships/settings" Target="settings.xml"/><Relationship Id="rId19" Type="http://schemas.openxmlformats.org/officeDocument/2006/relationships/image" Target="media/image7.emf"/><Relationship Id="rId18" Type="http://schemas.openxmlformats.org/officeDocument/2006/relationships/oleObject" Target="embeddings/oleObject7.bin"/><Relationship Id="rId17" Type="http://schemas.openxmlformats.org/officeDocument/2006/relationships/image" Target="media/image6.emf"/><Relationship Id="rId16" Type="http://schemas.openxmlformats.org/officeDocument/2006/relationships/oleObject" Target="embeddings/oleObject6.bin"/><Relationship Id="rId15" Type="http://schemas.openxmlformats.org/officeDocument/2006/relationships/image" Target="media/image5.emf"/><Relationship Id="rId14" Type="http://schemas.openxmlformats.org/officeDocument/2006/relationships/oleObject" Target="embeddings/oleObject5.bin"/><Relationship Id="rId13" Type="http://schemas.openxmlformats.org/officeDocument/2006/relationships/image" Target="media/image4.emf"/><Relationship Id="rId12" Type="http://schemas.openxmlformats.org/officeDocument/2006/relationships/oleObject" Target="embeddings/oleObject4.bin"/><Relationship Id="rId11" Type="http://schemas.openxmlformats.org/officeDocument/2006/relationships/image" Target="media/image3.emf"/><Relationship Id="rId10" Type="http://schemas.openxmlformats.org/officeDocument/2006/relationships/oleObject" Target="embeddings/oleObject3.bin"/><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萌主</cp:lastModifiedBy>
  <dcterms:modified xsi:type="dcterms:W3CDTF">2020-11-20T04:31:14Z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