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栾川县商工委2017年决算公开说明</w:t>
      </w:r>
    </w:p>
    <w:p/>
    <w:p>
      <w:pPr>
        <w:autoSpaceDE w:val="0"/>
        <w:spacing w:line="560" w:lineRule="exact"/>
        <w:ind w:left="1117" w:leftChars="227" w:hanging="640" w:hangingChars="200"/>
        <w:rPr>
          <w:rFonts w:ascii="黑体" w:hAnsi="黑体" w:eastAsia="黑体" w:cs="黑体"/>
          <w:sz w:val="32"/>
          <w:szCs w:val="32"/>
        </w:rPr>
      </w:pPr>
      <w:r>
        <w:rPr>
          <w:rFonts w:hint="eastAsia" w:ascii="黑体" w:hAnsi="黑体" w:eastAsia="黑体" w:cs="黑体"/>
          <w:sz w:val="32"/>
          <w:szCs w:val="32"/>
        </w:rPr>
        <w:t>一、部门概况</w:t>
      </w:r>
    </w:p>
    <w:p>
      <w:pPr>
        <w:autoSpaceDE w:val="0"/>
        <w:spacing w:line="560" w:lineRule="exact"/>
        <w:ind w:firstLine="640" w:firstLineChars="200"/>
        <w:rPr>
          <w:rFonts w:ascii="仿宋" w:hAnsi="仿宋" w:eastAsia="仿宋" w:cs="仿宋"/>
          <w:color w:val="505050"/>
          <w:sz w:val="32"/>
          <w:szCs w:val="32"/>
        </w:rPr>
      </w:pPr>
      <w:r>
        <w:rPr>
          <w:rFonts w:hint="eastAsia" w:ascii="仿宋" w:hAnsi="仿宋" w:eastAsia="仿宋" w:cs="仿宋"/>
          <w:sz w:val="32"/>
          <w:szCs w:val="32"/>
        </w:rPr>
        <w:t>（一）机构设置</w:t>
      </w:r>
    </w:p>
    <w:p>
      <w:pPr>
        <w:autoSpaceDE w:val="0"/>
        <w:spacing w:line="560" w:lineRule="exact"/>
        <w:ind w:firstLine="640" w:firstLineChars="200"/>
        <w:rPr>
          <w:rFonts w:ascii="仿宋" w:hAnsi="仿宋" w:eastAsia="仿宋" w:cs="仿宋"/>
          <w:color w:val="505050"/>
          <w:sz w:val="32"/>
          <w:szCs w:val="32"/>
        </w:rPr>
      </w:pPr>
      <w:r>
        <w:rPr>
          <w:rFonts w:hint="eastAsia" w:ascii="仿宋" w:hAnsi="仿宋" w:eastAsia="仿宋" w:cs="仿宋"/>
          <w:color w:val="505050"/>
          <w:sz w:val="32"/>
          <w:szCs w:val="32"/>
        </w:rPr>
        <w:t>栾川县商务和工业信息化委员会成立于2016年10月，办公地点在栾川县文化艺术中心8楼，现有干部职工53人（行政编制14人、财政全供事业编制12人、自筹自支事业编制23人、聘用4人），其中：领导班子5人，退二线6人，中层干部13人。局机关下设行政办公室、工业综合股、党建办、、财务股、企业改革与维稳办、电子商务运营中心、商务综合股、综合执法大队、节能安全环保股。</w:t>
      </w:r>
    </w:p>
    <w:p>
      <w:pPr>
        <w:spacing w:line="560" w:lineRule="exact"/>
        <w:ind w:firstLine="640"/>
        <w:rPr>
          <w:rFonts w:ascii="仿宋" w:hAnsi="仿宋" w:eastAsia="仿宋" w:cs="仿宋"/>
          <w:color w:val="505050"/>
          <w:kern w:val="0"/>
          <w:sz w:val="32"/>
          <w:szCs w:val="32"/>
        </w:rPr>
      </w:pPr>
      <w:r>
        <w:rPr>
          <w:rFonts w:hint="eastAsia" w:ascii="仿宋" w:hAnsi="仿宋" w:eastAsia="仿宋" w:cs="仿宋"/>
          <w:color w:val="505050"/>
          <w:kern w:val="0"/>
          <w:sz w:val="32"/>
          <w:szCs w:val="32"/>
        </w:rPr>
        <w:t>（二）部门职责</w:t>
      </w:r>
    </w:p>
    <w:p>
      <w:pPr>
        <w:pStyle w:val="5"/>
        <w:shd w:val="clear" w:color="auto" w:fill="FFFFFF"/>
        <w:spacing w:before="0" w:beforeAutospacing="0" w:after="0" w:afterAutospacing="0" w:line="585" w:lineRule="atLeast"/>
        <w:ind w:firstLine="600"/>
        <w:rPr>
          <w:rFonts w:hint="eastAsia" w:ascii="仿宋" w:hAnsi="仿宋" w:eastAsia="仿宋" w:cs="仿宋"/>
          <w:color w:val="505050"/>
          <w:sz w:val="32"/>
          <w:szCs w:val="32"/>
        </w:rPr>
      </w:pPr>
      <w:r>
        <w:rPr>
          <w:rFonts w:hint="eastAsia" w:ascii="仿宋" w:hAnsi="仿宋" w:eastAsia="仿宋" w:cs="仿宋"/>
          <w:color w:val="505050"/>
          <w:sz w:val="32"/>
          <w:szCs w:val="32"/>
        </w:rPr>
        <w:t>栾川县商务和工业信息化委员会是县政府主管全县工业企业、信息化工作、商务工作的县政府主要组成部门。承担的主要工作职责是：工业行业管理、宏观调控、工业经济运行和信息产业管理、推进信息化和工业融合，促进电信、广播和计算机网络融合，指导电子政务、电子商务发展，推动跨行业、跨部门互联互通和信息资源开发利用；监测全县工业和信息化发展运行态势，统计发布相关信息；指导全县企业技术装备升级和战略性新兴产业发展；推进高新的技术与传统工业改造结合，提升传统工业核心竞争力，促进工业企业做大做强。</w:t>
      </w:r>
    </w:p>
    <w:p>
      <w:pPr>
        <w:pStyle w:val="5"/>
        <w:shd w:val="clear" w:color="auto" w:fill="FFFFFF"/>
        <w:spacing w:before="0" w:beforeAutospacing="0" w:after="0" w:afterAutospacing="0" w:line="585" w:lineRule="atLeast"/>
        <w:ind w:firstLine="600"/>
        <w:rPr>
          <w:rFonts w:hint="eastAsia" w:ascii="仿宋" w:hAnsi="仿宋" w:eastAsia="仿宋" w:cs="仿宋"/>
          <w:color w:val="505050"/>
          <w:sz w:val="32"/>
          <w:szCs w:val="32"/>
        </w:rPr>
      </w:pPr>
    </w:p>
    <w:p>
      <w:pPr>
        <w:spacing w:line="600" w:lineRule="atLeast"/>
        <w:ind w:firstLine="960" w:firstLineChars="200"/>
        <w:jc w:val="center"/>
        <w:rPr>
          <w:rFonts w:ascii="黑体" w:hAnsi="黑体" w:eastAsia="黑体" w:cs="黑体"/>
          <w:sz w:val="48"/>
          <w:szCs w:val="48"/>
        </w:rPr>
      </w:pPr>
      <w:r>
        <w:rPr>
          <w:rFonts w:hint="eastAsia" w:ascii="黑体" w:hAnsi="黑体" w:eastAsia="黑体" w:cs="黑体"/>
          <w:sz w:val="48"/>
          <w:szCs w:val="48"/>
        </w:rPr>
        <w:t>二、2017年决算情况说明</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（一）收支增减情况说明</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2017年收入568.77万元。比上年增加313.01万元，增长55%。其中：财政拨款收入568.77万元，比上年增加313.01万元，增长55%。2017年结余0万元。</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2017年一般公共财政预算收入568.77万元，比上年增加313.01万元，增长55%。财政拨款增加的原因主要是机构合并人员工资增长和机关养老保险缴费，散乱污企业整治费用。一般公共财政预算支出568.77万元，比上年增加313.01万元，增长55%。支出分别为：基本支出339.41万元，比上年增加194.16万元，增长57%。支出增长的原因主要是人员工资增长；项目支出229.36万元，比上年增加118.85万元，增长51%。增长的原因主要是项目经费支出数额增加。</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年末结转和结余0万元。</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（二）因公出国、出境的团组及人数</w:t>
      </w:r>
    </w:p>
    <w:p>
      <w:pPr>
        <w:spacing w:line="600" w:lineRule="atLeast"/>
        <w:ind w:firstLine="640" w:firstLineChars="200"/>
        <w:rPr>
          <w:rFonts w:ascii="仿宋" w:hAnsi="仿宋" w:eastAsia="仿宋" w:cs="仿宋"/>
          <w:sz w:val="32"/>
          <w:szCs w:val="32"/>
        </w:rPr>
      </w:pPr>
      <w:r>
        <w:rPr>
          <w:rFonts w:ascii="仿宋" w:hAnsi="仿宋" w:eastAsia="仿宋"/>
          <w:sz w:val="32"/>
          <w:szCs w:val="32"/>
        </w:rPr>
        <w:t>2017</w:t>
      </w:r>
      <w:r>
        <w:rPr>
          <w:rFonts w:hint="eastAsia" w:ascii="仿宋" w:hAnsi="仿宋" w:eastAsia="仿宋"/>
          <w:sz w:val="32"/>
          <w:szCs w:val="32"/>
        </w:rPr>
        <w:t>年</w:t>
      </w:r>
      <w:r>
        <w:rPr>
          <w:rFonts w:hint="eastAsia" w:ascii="仿宋_GB2312" w:hAnsi="仿宋_GB2312" w:eastAsia="仿宋_GB2312" w:cs="仿宋_GB2312"/>
          <w:color w:val="auto"/>
          <w:sz w:val="32"/>
          <w:szCs w:val="32"/>
          <w:highlight w:val="none"/>
          <w:lang w:val="en-US" w:eastAsia="zh-CN"/>
        </w:rPr>
        <w:t>因公出国、出境人数为0，批次为0</w:t>
      </w:r>
      <w:r>
        <w:rPr>
          <w:rFonts w:hint="eastAsia" w:ascii="仿宋" w:hAnsi="仿宋" w:eastAsia="仿宋" w:cs="仿宋"/>
          <w:sz w:val="32"/>
          <w:szCs w:val="32"/>
        </w:rPr>
        <w:t>。</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（三）国内公务接待的批次和人数</w:t>
      </w:r>
    </w:p>
    <w:p>
      <w:pPr>
        <w:spacing w:line="600" w:lineRule="atLeast"/>
        <w:rPr>
          <w:rFonts w:ascii="仿宋" w:hAnsi="仿宋" w:eastAsia="仿宋" w:cs="仿宋"/>
          <w:sz w:val="32"/>
          <w:szCs w:val="32"/>
        </w:rPr>
      </w:pPr>
      <w:r>
        <w:rPr>
          <w:rFonts w:hint="eastAsia" w:ascii="仿宋" w:hAnsi="仿宋" w:eastAsia="仿宋" w:cs="仿宋"/>
          <w:sz w:val="32"/>
          <w:szCs w:val="32"/>
        </w:rPr>
        <w:t xml:space="preserve">     2017年共发生</w:t>
      </w:r>
      <w:bookmarkStart w:id="0" w:name="_GoBack"/>
      <w:r>
        <w:rPr>
          <w:rFonts w:hint="eastAsia" w:ascii="仿宋" w:hAnsi="仿宋" w:eastAsia="仿宋" w:cs="仿宋"/>
          <w:b/>
          <w:bCs/>
          <w:sz w:val="32"/>
          <w:szCs w:val="32"/>
        </w:rPr>
        <w:t>国内公务接待95（批）次，共接待800（人）次</w:t>
      </w:r>
      <w:bookmarkEnd w:id="0"/>
      <w:r>
        <w:rPr>
          <w:rFonts w:hint="eastAsia" w:ascii="仿宋" w:hAnsi="仿宋" w:eastAsia="仿宋" w:cs="仿宋"/>
          <w:sz w:val="32"/>
          <w:szCs w:val="32"/>
        </w:rPr>
        <w:t>。公务接待费支出4万元，比上年增加1万元，增加33%，增加的原因是:工信局、商务局、黄金局3个单位合并，组建新单位业务量增加。再加上2017年商工委负责“散乱污”企业取缔工作，接待量也随之增加。</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（四）政府采购执行情况</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2017年商工委未采购任何物品。</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（五）公务用车购置保有量情况说明</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2017年商工委没有购置公务车辆。</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（六）公车购置和公车运行费情况说明</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因公车改革，商工委公务车辆已上缴县财政，2017年商工委没有公务用车。</w:t>
      </w:r>
    </w:p>
    <w:p>
      <w:pPr>
        <w:spacing w:line="600" w:lineRule="atLeast"/>
        <w:ind w:firstLine="643" w:firstLineChars="200"/>
        <w:rPr>
          <w:rFonts w:ascii="仿宋" w:hAnsi="仿宋" w:eastAsia="仿宋" w:cs="仿宋"/>
          <w:b/>
          <w:sz w:val="32"/>
          <w:szCs w:val="32"/>
        </w:rPr>
      </w:pPr>
      <w:r>
        <w:rPr>
          <w:rFonts w:hint="eastAsia" w:ascii="仿宋" w:hAnsi="仿宋" w:eastAsia="仿宋" w:cs="仿宋"/>
          <w:b/>
          <w:sz w:val="32"/>
          <w:szCs w:val="32"/>
        </w:rPr>
        <w:t xml:space="preserve"> （七）“三公”经费支出情况</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“三公”经费支出总额为4万元，比上年减少3万元，比上年减少55 %，减少的原因是2016年公务用车运行维护费3万元，2017年没以有公务用车。</w:t>
      </w:r>
    </w:p>
    <w:p>
      <w:pPr>
        <w:spacing w:line="600" w:lineRule="atLeast"/>
        <w:ind w:firstLine="630" w:firstLineChars="196"/>
        <w:rPr>
          <w:rFonts w:ascii="仿宋" w:hAnsi="仿宋" w:eastAsia="仿宋" w:cs="仿宋"/>
          <w:b/>
          <w:sz w:val="32"/>
          <w:szCs w:val="32"/>
        </w:rPr>
      </w:pPr>
      <w:r>
        <w:rPr>
          <w:rFonts w:hint="eastAsia" w:ascii="仿宋" w:hAnsi="仿宋" w:eastAsia="仿宋" w:cs="仿宋"/>
          <w:b/>
          <w:sz w:val="32"/>
          <w:szCs w:val="32"/>
        </w:rPr>
        <w:t>（八）机关运行费情况</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2017年机关运行经费支出97.8万元，比上年增加86.4万元，增长88%。增长的原因是：有原工信局、商务局、黄金局合并组建栾川县商务和工业信息化委员会，人员增多，各项办公经费也随之增加。特别是黄金局全部属于自收自支事业编制人员。</w:t>
      </w:r>
    </w:p>
    <w:p>
      <w:pPr>
        <w:spacing w:line="600" w:lineRule="atLeast"/>
        <w:ind w:left="479" w:leftChars="228"/>
        <w:rPr>
          <w:rFonts w:ascii="仿宋" w:hAnsi="仿宋" w:eastAsia="仿宋" w:cs="仿宋"/>
          <w:b/>
          <w:sz w:val="32"/>
          <w:szCs w:val="32"/>
        </w:rPr>
      </w:pPr>
      <w:r>
        <w:rPr>
          <w:rFonts w:hint="eastAsia" w:ascii="仿宋" w:hAnsi="仿宋" w:eastAsia="仿宋" w:cs="仿宋"/>
          <w:b/>
          <w:sz w:val="32"/>
          <w:szCs w:val="32"/>
        </w:rPr>
        <w:t>（九）国有资产占用情况</w:t>
      </w:r>
    </w:p>
    <w:p>
      <w:pPr>
        <w:spacing w:line="60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2017年固定资产12.4万元，比上年减少29.8万元，。减少原因，由于原工信局房屋拆除，没有办公用房。</w:t>
      </w:r>
    </w:p>
    <w:p>
      <w:pPr>
        <w:spacing w:line="600" w:lineRule="atLeast"/>
        <w:ind w:firstLine="640" w:firstLineChars="200"/>
        <w:rPr>
          <w:rFonts w:hint="eastAsia" w:ascii="仿宋" w:hAnsi="仿宋" w:eastAsia="仿宋" w:cs="仿宋"/>
          <w:sz w:val="32"/>
          <w:szCs w:val="32"/>
        </w:rPr>
      </w:pPr>
    </w:p>
    <w:p>
      <w:pPr>
        <w:pStyle w:val="9"/>
        <w:spacing w:line="600" w:lineRule="atLeast"/>
        <w:ind w:firstLine="640"/>
        <w:jc w:val="center"/>
        <w:rPr>
          <w:rFonts w:ascii="黑体" w:hAnsi="黑体" w:eastAsia="黑体" w:cs="黑体"/>
          <w:sz w:val="48"/>
          <w:szCs w:val="48"/>
        </w:rPr>
      </w:pPr>
      <w:r>
        <w:rPr>
          <w:rFonts w:hint="eastAsia" w:ascii="黑体" w:hAnsi="黑体" w:eastAsia="黑体" w:cs="黑体"/>
          <w:sz w:val="48"/>
          <w:szCs w:val="48"/>
        </w:rPr>
        <w:t>三、名词解释</w:t>
      </w:r>
    </w:p>
    <w:p>
      <w:pPr>
        <w:pStyle w:val="5"/>
        <w:shd w:val="clear" w:color="auto" w:fill="FFFFFF"/>
        <w:spacing w:line="600" w:lineRule="atLeast"/>
        <w:ind w:firstLine="360"/>
        <w:rPr>
          <w:rFonts w:ascii="仿宋" w:hAnsi="仿宋" w:eastAsia="仿宋" w:cs="仿宋"/>
          <w:color w:val="000000"/>
          <w:sz w:val="32"/>
          <w:szCs w:val="32"/>
        </w:rPr>
      </w:pPr>
      <w:r>
        <w:rPr>
          <w:rFonts w:hint="eastAsia" w:ascii="仿宋" w:hAnsi="仿宋" w:eastAsia="仿宋" w:cs="仿宋"/>
          <w:color w:val="000000"/>
          <w:sz w:val="32"/>
          <w:szCs w:val="32"/>
        </w:rPr>
        <w:t>一、基本支出：指行政事业单位用于为保障其机构正常运转、完成日常工作任务而发生的人员支出和公用支出。</w:t>
      </w:r>
    </w:p>
    <w:p>
      <w:pPr>
        <w:pStyle w:val="5"/>
        <w:shd w:val="clear" w:color="auto" w:fill="FFFFFF"/>
        <w:spacing w:line="600" w:lineRule="atLeast"/>
        <w:ind w:firstLine="480"/>
        <w:rPr>
          <w:rFonts w:ascii="仿宋" w:hAnsi="仿宋" w:eastAsia="仿宋" w:cs="仿宋"/>
          <w:color w:val="000000"/>
          <w:sz w:val="32"/>
          <w:szCs w:val="32"/>
        </w:rPr>
      </w:pPr>
      <w:r>
        <w:rPr>
          <w:rFonts w:hint="eastAsia" w:ascii="仿宋" w:hAnsi="仿宋" w:eastAsia="仿宋" w:cs="仿宋"/>
          <w:color w:val="000000"/>
          <w:sz w:val="32"/>
          <w:szCs w:val="32"/>
        </w:rPr>
        <w:t>二、项目支出：指在基本支出之外为完成特定的行政工作任务或事业发展目标所发生的支出。</w:t>
      </w:r>
    </w:p>
    <w:p>
      <w:pPr>
        <w:pStyle w:val="5"/>
        <w:shd w:val="clear" w:color="auto" w:fill="FFFFFF"/>
        <w:spacing w:line="600" w:lineRule="atLeast"/>
        <w:ind w:firstLine="480"/>
        <w:rPr>
          <w:rFonts w:ascii="仿宋" w:hAnsi="仿宋" w:eastAsia="仿宋" w:cs="仿宋"/>
          <w:color w:val="000000"/>
          <w:sz w:val="32"/>
          <w:szCs w:val="32"/>
        </w:rPr>
      </w:pPr>
      <w:r>
        <w:rPr>
          <w:rFonts w:hint="eastAsia" w:ascii="仿宋" w:hAnsi="仿宋" w:eastAsia="仿宋" w:cs="仿宋"/>
          <w:color w:val="000000"/>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pStyle w:val="5"/>
        <w:shd w:val="clear" w:color="auto" w:fill="FFFFFF"/>
        <w:spacing w:line="600" w:lineRule="atLeast"/>
        <w:ind w:firstLine="360"/>
        <w:rPr>
          <w:rFonts w:ascii="仿宋" w:hAnsi="仿宋" w:eastAsia="仿宋" w:cs="仿宋"/>
          <w:color w:val="000000"/>
          <w:sz w:val="32"/>
          <w:szCs w:val="32"/>
        </w:rPr>
      </w:pPr>
      <w:r>
        <w:rPr>
          <w:rFonts w:hint="eastAsia" w:ascii="仿宋" w:hAnsi="仿宋" w:eastAsia="仿宋" w:cs="仿宋"/>
          <w:color w:val="000000"/>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pStyle w:val="5"/>
        <w:shd w:val="clear" w:color="auto" w:fill="FFFFFF"/>
        <w:spacing w:line="600" w:lineRule="atLeast"/>
        <w:ind w:firstLine="360"/>
        <w:rPr>
          <w:rFonts w:ascii="仿宋" w:hAnsi="仿宋" w:eastAsia="仿宋" w:cs="仿宋"/>
          <w:color w:val="000000"/>
          <w:sz w:val="32"/>
          <w:szCs w:val="32"/>
        </w:rPr>
      </w:pPr>
    </w:p>
    <w:p>
      <w:pPr>
        <w:pStyle w:val="5"/>
        <w:shd w:val="clear" w:color="auto" w:fill="FFFFFF"/>
        <w:spacing w:line="600" w:lineRule="atLeast"/>
        <w:ind w:firstLine="360"/>
        <w:rPr>
          <w:rFonts w:ascii="仿宋" w:hAnsi="仿宋" w:eastAsia="仿宋" w:cs="仿宋"/>
          <w:color w:val="000000"/>
          <w:sz w:val="32"/>
          <w:szCs w:val="32"/>
        </w:rPr>
      </w:pPr>
    </w:p>
    <w:p>
      <w:pPr>
        <w:pStyle w:val="5"/>
        <w:shd w:val="clear" w:color="auto" w:fill="FFFFFF"/>
        <w:spacing w:line="600" w:lineRule="atLeast"/>
        <w:ind w:firstLine="360"/>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spacing w:line="600" w:lineRule="atLeast"/>
        <w:rPr>
          <w:rFonts w:ascii="新宋体" w:hAnsi="新宋体" w:eastAsia="新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Bookshelf Symbol 7">
    <w:panose1 w:val="05010101010101010101"/>
    <w:charset w:val="00"/>
    <w:family w:val="auto"/>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96F8C"/>
    <w:rsid w:val="00046114"/>
    <w:rsid w:val="00052405"/>
    <w:rsid w:val="00066BBE"/>
    <w:rsid w:val="00120CDF"/>
    <w:rsid w:val="00133661"/>
    <w:rsid w:val="0014656A"/>
    <w:rsid w:val="001575E4"/>
    <w:rsid w:val="001B205F"/>
    <w:rsid w:val="001B3039"/>
    <w:rsid w:val="001B3085"/>
    <w:rsid w:val="001B4E5B"/>
    <w:rsid w:val="001D1BBC"/>
    <w:rsid w:val="00230DFD"/>
    <w:rsid w:val="00236FEE"/>
    <w:rsid w:val="002378B1"/>
    <w:rsid w:val="00242A79"/>
    <w:rsid w:val="00254957"/>
    <w:rsid w:val="00296F8C"/>
    <w:rsid w:val="00304336"/>
    <w:rsid w:val="00306114"/>
    <w:rsid w:val="0034713D"/>
    <w:rsid w:val="00361134"/>
    <w:rsid w:val="00365658"/>
    <w:rsid w:val="00372552"/>
    <w:rsid w:val="003E6DBA"/>
    <w:rsid w:val="003F5289"/>
    <w:rsid w:val="00400B50"/>
    <w:rsid w:val="0042346B"/>
    <w:rsid w:val="00430D1D"/>
    <w:rsid w:val="00442708"/>
    <w:rsid w:val="0046700B"/>
    <w:rsid w:val="004C2856"/>
    <w:rsid w:val="004F1298"/>
    <w:rsid w:val="005221DE"/>
    <w:rsid w:val="0054754A"/>
    <w:rsid w:val="0059277F"/>
    <w:rsid w:val="00610F41"/>
    <w:rsid w:val="00682280"/>
    <w:rsid w:val="006A36A2"/>
    <w:rsid w:val="006B03CB"/>
    <w:rsid w:val="006F0CD4"/>
    <w:rsid w:val="007775E1"/>
    <w:rsid w:val="0078198D"/>
    <w:rsid w:val="007A027A"/>
    <w:rsid w:val="007A4E56"/>
    <w:rsid w:val="007C6354"/>
    <w:rsid w:val="007D188B"/>
    <w:rsid w:val="008447E8"/>
    <w:rsid w:val="00897E6A"/>
    <w:rsid w:val="008C5FF0"/>
    <w:rsid w:val="00913768"/>
    <w:rsid w:val="00961121"/>
    <w:rsid w:val="009613A7"/>
    <w:rsid w:val="00976CCA"/>
    <w:rsid w:val="009D7E20"/>
    <w:rsid w:val="009E782E"/>
    <w:rsid w:val="009F59A2"/>
    <w:rsid w:val="00A04A2A"/>
    <w:rsid w:val="00A07618"/>
    <w:rsid w:val="00A42C4C"/>
    <w:rsid w:val="00A542CA"/>
    <w:rsid w:val="00AB53EA"/>
    <w:rsid w:val="00AE4664"/>
    <w:rsid w:val="00B76F58"/>
    <w:rsid w:val="00BA5FDD"/>
    <w:rsid w:val="00C07EEE"/>
    <w:rsid w:val="00C1350A"/>
    <w:rsid w:val="00C20E14"/>
    <w:rsid w:val="00C33EF8"/>
    <w:rsid w:val="00C566F1"/>
    <w:rsid w:val="00C644F0"/>
    <w:rsid w:val="00CD3397"/>
    <w:rsid w:val="00D05996"/>
    <w:rsid w:val="00D4115E"/>
    <w:rsid w:val="00DE114E"/>
    <w:rsid w:val="00E119FE"/>
    <w:rsid w:val="00E82CDB"/>
    <w:rsid w:val="00F16308"/>
    <w:rsid w:val="00F54E10"/>
    <w:rsid w:val="00F6753B"/>
    <w:rsid w:val="00F934B3"/>
    <w:rsid w:val="00FA26FD"/>
    <w:rsid w:val="00FD3F6C"/>
    <w:rsid w:val="0F3711B3"/>
    <w:rsid w:val="16AE243B"/>
    <w:rsid w:val="1CF25A7B"/>
    <w:rsid w:val="1E310AC3"/>
    <w:rsid w:val="214E6F1D"/>
    <w:rsid w:val="24CB75A0"/>
    <w:rsid w:val="28BE2AA6"/>
    <w:rsid w:val="2CA66AAD"/>
    <w:rsid w:val="330F750A"/>
    <w:rsid w:val="35023CCC"/>
    <w:rsid w:val="35960ABB"/>
    <w:rsid w:val="364A0324"/>
    <w:rsid w:val="3A8E5EEC"/>
    <w:rsid w:val="439B7696"/>
    <w:rsid w:val="4B526B40"/>
    <w:rsid w:val="54504777"/>
    <w:rsid w:val="54C50D33"/>
    <w:rsid w:val="6AC56445"/>
    <w:rsid w:val="6F812368"/>
    <w:rsid w:val="70CC1250"/>
    <w:rsid w:val="7224346C"/>
    <w:rsid w:val="76252206"/>
    <w:rsid w:val="78DA44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583D0-4973-4A2F-BA8C-3FC21369F586}">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271</Words>
  <Characters>1547</Characters>
  <Lines>12</Lines>
  <Paragraphs>3</Paragraphs>
  <TotalTime>0</TotalTime>
  <ScaleCrop>false</ScaleCrop>
  <LinksUpToDate>false</LinksUpToDate>
  <CharactersWithSpaces>1815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2017-10-23T11:11:00Z</dcterms:created>
  <dc:creator>雨林木风</dc:creator>
  <cp:lastModifiedBy>萌主</cp:lastModifiedBy>
  <cp:lastPrinted>2017-04-07T00:14:00Z</cp:lastPrinted>
  <dcterms:modified xsi:type="dcterms:W3CDTF">2018-10-26T08:09:02Z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