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32"/>
          <w:szCs w:val="32"/>
        </w:rPr>
      </w:pPr>
      <w:r>
        <w:rPr>
          <w:rFonts w:hint="eastAsia" w:ascii="仿宋" w:hAnsi="仿宋" w:eastAsia="仿宋"/>
          <w:b/>
          <w:sz w:val="44"/>
          <w:szCs w:val="44"/>
        </w:rPr>
        <w:t>栾川县地质矿产局2017年决算公开说明</w:t>
      </w:r>
      <w:r>
        <w:rPr>
          <w:rFonts w:hint="eastAsia" w:ascii="仿宋" w:hAnsi="仿宋" w:eastAsia="仿宋"/>
          <w:b/>
          <w:bCs/>
          <w:sz w:val="32"/>
          <w:szCs w:val="32"/>
        </w:rPr>
        <w:t xml:space="preserve"> </w:t>
      </w:r>
    </w:p>
    <w:p>
      <w:pPr>
        <w:jc w:val="center"/>
        <w:rPr>
          <w:rFonts w:hint="eastAsia" w:ascii="仿宋" w:hAnsi="仿宋" w:eastAsia="仿宋"/>
          <w:b/>
          <w:bCs/>
          <w:sz w:val="32"/>
          <w:szCs w:val="32"/>
        </w:rPr>
      </w:pPr>
    </w:p>
    <w:p>
      <w:pPr>
        <w:ind w:firstLine="880" w:firstLineChars="200"/>
        <w:jc w:val="center"/>
        <w:rPr>
          <w:rFonts w:hint="eastAsia" w:ascii="仿宋" w:hAnsi="仿宋" w:eastAsia="仿宋"/>
          <w:sz w:val="44"/>
          <w:szCs w:val="44"/>
        </w:rPr>
      </w:pPr>
      <w:r>
        <w:rPr>
          <w:rFonts w:hint="eastAsia" w:ascii="仿宋" w:hAnsi="仿宋" w:eastAsia="仿宋"/>
          <w:sz w:val="44"/>
          <w:szCs w:val="44"/>
        </w:rPr>
        <w:t>一、部门概况</w:t>
      </w:r>
    </w:p>
    <w:p>
      <w:pPr>
        <w:ind w:firstLine="480" w:firstLineChars="150"/>
        <w:rPr>
          <w:rFonts w:hint="eastAsia" w:ascii="仿宋" w:hAnsi="仿宋" w:eastAsia="仿宋"/>
          <w:sz w:val="32"/>
          <w:szCs w:val="32"/>
        </w:rPr>
      </w:pPr>
      <w:r>
        <w:rPr>
          <w:rFonts w:hint="eastAsia" w:ascii="仿宋" w:hAnsi="仿宋" w:eastAsia="仿宋"/>
          <w:sz w:val="32"/>
          <w:szCs w:val="32"/>
        </w:rPr>
        <w:t>（一）主要职责</w:t>
      </w:r>
    </w:p>
    <w:p>
      <w:pPr>
        <w:numPr>
          <w:ilvl w:val="0"/>
          <w:numId w:val="1"/>
        </w:numPr>
        <w:ind w:left="0" w:firstLine="720"/>
        <w:rPr>
          <w:rFonts w:hint="eastAsia" w:ascii="仿宋" w:hAnsi="仿宋" w:eastAsia="仿宋"/>
          <w:sz w:val="32"/>
          <w:szCs w:val="32"/>
        </w:rPr>
      </w:pPr>
      <w:r>
        <w:rPr>
          <w:rFonts w:ascii="仿宋" w:hAnsi="仿宋" w:eastAsia="仿宋"/>
          <w:sz w:val="32"/>
          <w:szCs w:val="32"/>
        </w:rPr>
        <w:t>贯彻执行国家有关矿业管理的法律、法规和政策；加强对全县矿产资源政策的研究，制订科学的矿产资源规划并组织实施，全面推进矿产资源和科学化管理。</w:t>
      </w:r>
    </w:p>
    <w:p>
      <w:pPr>
        <w:numPr>
          <w:ilvl w:val="0"/>
          <w:numId w:val="1"/>
        </w:numPr>
        <w:ind w:left="0" w:firstLine="720"/>
        <w:rPr>
          <w:rFonts w:ascii="仿宋" w:hAnsi="仿宋" w:eastAsia="仿宋" w:cs="宋体"/>
          <w:sz w:val="32"/>
          <w:szCs w:val="32"/>
        </w:rPr>
      </w:pPr>
      <w:r>
        <w:rPr>
          <w:rFonts w:ascii="仿宋" w:hAnsi="仿宋" w:eastAsia="仿宋"/>
          <w:sz w:val="32"/>
          <w:szCs w:val="32"/>
        </w:rPr>
        <w:t>承担全县矿产资源含量管理和地质资料汇交管理，</w:t>
      </w:r>
      <w:r>
        <w:rPr>
          <w:rFonts w:ascii="仿宋" w:hAnsi="仿宋" w:eastAsia="仿宋" w:cs="宋体"/>
          <w:sz w:val="32"/>
          <w:szCs w:val="32"/>
        </w:rPr>
        <w:t>负责全县矿产资源储量占用和压覆情况的审查；组织全县的矿产资源含量的登记和统计，组织实施国家矿产资源含量管理办法、标准、规程、规范；编制全县矿产资源的开发规划，做好开发规划的审报工作；依法合理配置矿产资源，负责非金属矿产的登记发证登记工作。</w:t>
      </w:r>
    </w:p>
    <w:p>
      <w:pPr>
        <w:numPr>
          <w:ilvl w:val="0"/>
          <w:numId w:val="1"/>
        </w:numPr>
        <w:ind w:left="0" w:firstLine="720"/>
        <w:rPr>
          <w:rFonts w:ascii="仿宋" w:hAnsi="仿宋" w:eastAsia="仿宋"/>
          <w:sz w:val="32"/>
          <w:szCs w:val="32"/>
        </w:rPr>
      </w:pPr>
      <w:r>
        <w:rPr>
          <w:rFonts w:ascii="仿宋" w:hAnsi="仿宋" w:eastAsia="仿宋" w:cs="宋体"/>
          <w:sz w:val="32"/>
          <w:szCs w:val="32"/>
        </w:rPr>
        <w:t>负责全县的矿业权的管理，依法保护矿业权人的合法权益。协调处理勘查、开采权属纠纷；对矿产资源的勘查、开发、利用和保护进行监督管理，负责审查和批准矿山闭坑地质报告。</w:t>
      </w:r>
    </w:p>
    <w:p>
      <w:pPr>
        <w:numPr>
          <w:ilvl w:val="0"/>
          <w:numId w:val="1"/>
        </w:numPr>
        <w:ind w:left="0" w:firstLine="720"/>
        <w:rPr>
          <w:rFonts w:hint="eastAsia" w:ascii="仿宋" w:hAnsi="仿宋" w:eastAsia="仿宋"/>
          <w:sz w:val="32"/>
          <w:szCs w:val="32"/>
        </w:rPr>
      </w:pPr>
      <w:r>
        <w:rPr>
          <w:rFonts w:ascii="仿宋" w:hAnsi="仿宋" w:eastAsia="仿宋" w:cs="宋体"/>
          <w:sz w:val="32"/>
          <w:szCs w:val="32"/>
        </w:rPr>
        <w:t>负责全县的地质环境监测和监督管理工作；依法管理全县的水文地质、工程地质、环境地质勘查和评价工作；组织全县范围内的地质旅游资源的调查与保护；协助申报省级以上地质公园；编制地质灾害的防治计划及地质灾害的预防和整治工作并参与组织实施。</w:t>
      </w:r>
    </w:p>
    <w:p>
      <w:pPr>
        <w:numPr>
          <w:ilvl w:val="0"/>
          <w:numId w:val="1"/>
        </w:numPr>
        <w:ind w:left="0" w:firstLine="720"/>
        <w:rPr>
          <w:rFonts w:hint="eastAsia" w:ascii="仿宋" w:hAnsi="仿宋" w:eastAsia="仿宋"/>
          <w:sz w:val="32"/>
          <w:szCs w:val="32"/>
        </w:rPr>
      </w:pPr>
      <w:r>
        <w:rPr>
          <w:rFonts w:ascii="仿宋" w:hAnsi="仿宋" w:eastAsia="仿宋" w:cs="宋体"/>
          <w:sz w:val="32"/>
          <w:szCs w:val="32"/>
        </w:rPr>
        <w:t>负责组织和实施全县地质勘查中长期和年度计划；会同有关部门组织协调地质勘查工作关系；负责全县地质资料的收集汇交工作；协调处理地质勘查纠纷。</w:t>
      </w:r>
    </w:p>
    <w:p>
      <w:pPr>
        <w:numPr>
          <w:ilvl w:val="0"/>
          <w:numId w:val="1"/>
        </w:numPr>
        <w:ind w:left="0" w:firstLine="720"/>
        <w:rPr>
          <w:rFonts w:hint="eastAsia" w:ascii="仿宋" w:hAnsi="仿宋" w:eastAsia="仿宋"/>
          <w:sz w:val="32"/>
          <w:szCs w:val="32"/>
        </w:rPr>
      </w:pPr>
      <w:r>
        <w:rPr>
          <w:rFonts w:ascii="仿宋" w:hAnsi="仿宋" w:eastAsia="仿宋" w:cs="宋体"/>
          <w:sz w:val="32"/>
          <w:szCs w:val="32"/>
        </w:rPr>
        <w:t>参与制定全县环境保护规划和地下水资源的调整、评价、规划及管理工作。</w:t>
      </w:r>
    </w:p>
    <w:p>
      <w:pPr>
        <w:numPr>
          <w:ilvl w:val="0"/>
          <w:numId w:val="1"/>
        </w:numPr>
        <w:ind w:left="0" w:firstLine="720"/>
        <w:rPr>
          <w:rFonts w:hint="eastAsia" w:ascii="仿宋" w:hAnsi="仿宋" w:eastAsia="仿宋"/>
          <w:sz w:val="32"/>
          <w:szCs w:val="32"/>
        </w:rPr>
      </w:pPr>
      <w:r>
        <w:rPr>
          <w:rFonts w:ascii="仿宋" w:hAnsi="仿宋" w:eastAsia="仿宋" w:cs="宋体"/>
          <w:sz w:val="32"/>
          <w:szCs w:val="32"/>
        </w:rPr>
        <w:t>负责管理全县地矿科技、教育工作。组织编制全县地矿科技规划。组织协调地矿科技项目的实施，管理地矿科技成果，组织开展地矿部门及矿山企业的培训教育工作，指导全县矿业权人开展科技兴矿活动，推动科技进步和科技开发。</w:t>
      </w:r>
    </w:p>
    <w:p>
      <w:pPr>
        <w:numPr>
          <w:ilvl w:val="0"/>
          <w:numId w:val="1"/>
        </w:numPr>
        <w:ind w:left="0" w:firstLine="720"/>
        <w:rPr>
          <w:rFonts w:hint="eastAsia" w:ascii="仿宋" w:hAnsi="仿宋" w:eastAsia="仿宋"/>
          <w:sz w:val="32"/>
          <w:szCs w:val="32"/>
        </w:rPr>
      </w:pPr>
      <w:r>
        <w:rPr>
          <w:rFonts w:ascii="仿宋" w:hAnsi="仿宋" w:eastAsia="仿宋" w:cs="宋体"/>
          <w:sz w:val="32"/>
          <w:szCs w:val="32"/>
        </w:rPr>
        <w:t>组织协调地矿工作的对外交流，参与研讨申报对外合资的矿产资源开发项目。</w:t>
      </w:r>
    </w:p>
    <w:p>
      <w:pPr>
        <w:numPr>
          <w:ilvl w:val="0"/>
          <w:numId w:val="1"/>
        </w:numPr>
        <w:ind w:left="0" w:firstLine="720"/>
        <w:rPr>
          <w:rFonts w:hint="eastAsia" w:ascii="仿宋" w:hAnsi="仿宋" w:eastAsia="仿宋"/>
          <w:sz w:val="32"/>
          <w:szCs w:val="32"/>
        </w:rPr>
      </w:pPr>
      <w:r>
        <w:rPr>
          <w:rFonts w:ascii="仿宋" w:hAnsi="仿宋" w:eastAsia="仿宋" w:cs="宋体"/>
          <w:sz w:val="32"/>
          <w:szCs w:val="32"/>
        </w:rPr>
        <w:t>负责全局机关和直属单位的人事及其它事务性工作；指导行业人员培训和继续教育工作；负责局机关离退休人员的管理与服务工作。</w:t>
      </w:r>
    </w:p>
    <w:p>
      <w:pPr>
        <w:ind w:left="720"/>
        <w:rPr>
          <w:rFonts w:hint="eastAsia" w:ascii="仿宋" w:hAnsi="仿宋" w:eastAsia="仿宋"/>
          <w:sz w:val="32"/>
          <w:szCs w:val="32"/>
        </w:rPr>
      </w:pPr>
      <w:r>
        <w:rPr>
          <w:rFonts w:hint="eastAsia" w:ascii="仿宋" w:hAnsi="仿宋" w:eastAsia="仿宋"/>
          <w:sz w:val="32"/>
          <w:szCs w:val="32"/>
        </w:rPr>
        <w:t>（二）机构、人员设置</w:t>
      </w:r>
    </w:p>
    <w:p>
      <w:pPr>
        <w:ind w:firstLine="720" w:firstLineChars="225"/>
        <w:rPr>
          <w:rFonts w:hint="eastAsia" w:ascii="仿宋" w:hAnsi="仿宋" w:eastAsia="仿宋" w:cs="宋体"/>
          <w:sz w:val="32"/>
          <w:szCs w:val="32"/>
        </w:rPr>
      </w:pPr>
      <w:r>
        <w:rPr>
          <w:rFonts w:ascii="仿宋" w:hAnsi="仿宋" w:eastAsia="仿宋" w:cs="宋体"/>
          <w:sz w:val="32"/>
          <w:szCs w:val="32"/>
        </w:rPr>
        <w:t>栾川县地质矿产局21个内设机构：行政办公室、后勤服务中心、财务科、人事教育科、党办、纪检监察室、矿产开发科、地质勘查科、资源环境安全科、储量技术科、效能督查室、法制科、警察大队、执法监察大队、赤土店矿管站、陶湾矿管站、冷水矿管站、狮子庙矿管站、潭头矿管站、合峪矿管站、城关矿管站。核定行政编制5人，实有人数4人，行政退休14人。事业编制40人，实有人数56人，事业退休15人。</w:t>
      </w:r>
    </w:p>
    <w:p>
      <w:pPr>
        <w:numPr>
          <w:ilvl w:val="0"/>
          <w:numId w:val="2"/>
        </w:numPr>
        <w:rPr>
          <w:rFonts w:ascii="仿宋" w:hAnsi="仿宋" w:eastAsia="仿宋"/>
          <w:sz w:val="32"/>
          <w:szCs w:val="32"/>
        </w:rPr>
      </w:pPr>
      <w:r>
        <w:rPr>
          <w:rFonts w:hint="eastAsia" w:ascii="仿宋" w:hAnsi="仿宋" w:eastAsia="仿宋"/>
          <w:sz w:val="32"/>
          <w:szCs w:val="32"/>
        </w:rPr>
        <w:t>2017年决算情况</w:t>
      </w:r>
    </w:p>
    <w:p>
      <w:pPr>
        <w:ind w:left="630"/>
        <w:rPr>
          <w:rFonts w:hint="eastAsia" w:ascii="仿宋" w:hAnsi="仿宋" w:eastAsia="仿宋"/>
          <w:sz w:val="32"/>
          <w:szCs w:val="32"/>
        </w:rPr>
      </w:pPr>
      <w:r>
        <w:rPr>
          <w:rFonts w:hint="eastAsia" w:ascii="仿宋" w:hAnsi="仿宋" w:eastAsia="仿宋"/>
          <w:sz w:val="32"/>
          <w:szCs w:val="32"/>
        </w:rPr>
        <w:t>（一）收支情况</w:t>
      </w:r>
    </w:p>
    <w:p>
      <w:pPr>
        <w:ind w:firstLine="537" w:firstLineChars="168"/>
        <w:rPr>
          <w:rFonts w:hint="eastAsia" w:ascii="仿宋" w:hAnsi="仿宋" w:eastAsia="仿宋" w:cs="宋体"/>
          <w:sz w:val="32"/>
          <w:szCs w:val="32"/>
        </w:rPr>
      </w:pPr>
      <w:r>
        <w:rPr>
          <w:rFonts w:ascii="仿宋" w:hAnsi="仿宋" w:eastAsia="仿宋" w:cs="宋体"/>
          <w:sz w:val="32"/>
          <w:szCs w:val="32"/>
        </w:rPr>
        <w:t>2017年收入536.26万元，比上年减少196.55万元，减少26.8%，其中：财政拨款收入357.67万元，罚没收入及采矿权价款返还收入178.59万元，年初结转和结余225.63万元。</w:t>
      </w:r>
    </w:p>
    <w:p>
      <w:pPr>
        <w:ind w:firstLine="537" w:firstLineChars="168"/>
        <w:rPr>
          <w:rFonts w:ascii="仿宋" w:hAnsi="仿宋" w:eastAsia="仿宋" w:cs="宋体"/>
          <w:sz w:val="32"/>
          <w:szCs w:val="32"/>
        </w:rPr>
      </w:pPr>
      <w:r>
        <w:rPr>
          <w:rFonts w:ascii="仿宋" w:hAnsi="仿宋" w:eastAsia="仿宋" w:cs="宋体"/>
          <w:sz w:val="32"/>
          <w:szCs w:val="32"/>
        </w:rPr>
        <w:t>一般公共预算收入536.26万元，比上年减少196.55万元，减少26.8%。一般公共预算支出541.26万元，比上年减少467.59万元，减少46.3%，支出分别为：基本支出：449.9万元，比上年增加58.8万元，增长15%，增长原因是工作人员工资调整和新增机关养老保险缴费基数上调。项目支出：86.27万元，比上年减少256.33万元，减少74.8%,减少原因是财政拨款从项目支出调整到基本支出。</w:t>
      </w:r>
    </w:p>
    <w:p>
      <w:pPr>
        <w:ind w:firstLine="537" w:firstLineChars="168"/>
        <w:rPr>
          <w:rFonts w:ascii="仿宋" w:hAnsi="仿宋" w:eastAsia="仿宋" w:cs="宋体"/>
          <w:sz w:val="32"/>
          <w:szCs w:val="32"/>
        </w:rPr>
      </w:pPr>
      <w:r>
        <w:rPr>
          <w:rFonts w:ascii="仿宋" w:hAnsi="仿宋" w:eastAsia="仿宋" w:cs="宋体"/>
          <w:sz w:val="32"/>
          <w:szCs w:val="32"/>
        </w:rPr>
        <w:t>年未结转和结余220.6万元，比上年减少5万元，减少2.2%。</w:t>
      </w:r>
    </w:p>
    <w:p>
      <w:pPr>
        <w:ind w:firstLine="640" w:firstLineChars="200"/>
        <w:rPr>
          <w:rFonts w:ascii="仿宋" w:hAnsi="仿宋" w:eastAsia="仿宋"/>
          <w:sz w:val="32"/>
          <w:szCs w:val="32"/>
        </w:rPr>
      </w:pPr>
      <w:r>
        <w:rPr>
          <w:rFonts w:hint="eastAsia" w:ascii="仿宋" w:hAnsi="仿宋" w:eastAsia="仿宋"/>
          <w:sz w:val="32"/>
          <w:szCs w:val="32"/>
        </w:rPr>
        <w:t>（二）“三公”经费支出情况</w:t>
      </w:r>
    </w:p>
    <w:p>
      <w:pPr>
        <w:ind w:firstLine="640" w:firstLineChars="200"/>
        <w:rPr>
          <w:rFonts w:hint="eastAsia" w:ascii="仿宋" w:hAnsi="仿宋" w:eastAsia="仿宋"/>
          <w:sz w:val="32"/>
          <w:szCs w:val="32"/>
        </w:rPr>
      </w:pPr>
      <w:r>
        <w:rPr>
          <w:rFonts w:ascii="仿宋" w:hAnsi="仿宋" w:eastAsia="仿宋"/>
          <w:sz w:val="32"/>
          <w:szCs w:val="32"/>
        </w:rPr>
        <w:t>“三公”经费支出总额6.7万元，比上年增加0.17万元，比上年增长2.6%。</w:t>
      </w:r>
    </w:p>
    <w:p>
      <w:pPr>
        <w:ind w:firstLine="640" w:firstLineChars="200"/>
        <w:rPr>
          <w:rFonts w:ascii="仿宋" w:hAnsi="仿宋" w:eastAsia="仿宋"/>
          <w:sz w:val="32"/>
          <w:szCs w:val="32"/>
        </w:rPr>
      </w:pPr>
      <w:r>
        <w:rPr>
          <w:rFonts w:ascii="仿宋" w:hAnsi="仿宋" w:eastAsia="仿宋"/>
          <w:sz w:val="32"/>
          <w:szCs w:val="32"/>
        </w:rPr>
        <w:t>1、公务接待</w:t>
      </w:r>
    </w:p>
    <w:p>
      <w:pPr>
        <w:ind w:firstLine="640" w:firstLineChars="200"/>
        <w:rPr>
          <w:rFonts w:hint="eastAsia" w:ascii="仿宋" w:hAnsi="仿宋" w:eastAsia="仿宋"/>
          <w:sz w:val="32"/>
          <w:szCs w:val="32"/>
          <w:lang w:val="en-US" w:eastAsia="zh-CN"/>
        </w:rPr>
      </w:pPr>
      <w:r>
        <w:rPr>
          <w:rFonts w:ascii="仿宋" w:hAnsi="仿宋" w:eastAsia="仿宋"/>
          <w:sz w:val="32"/>
          <w:szCs w:val="32"/>
        </w:rPr>
        <w:t>2017年公务接待费支出0.82万元，</w:t>
      </w:r>
      <w:r>
        <w:rPr>
          <w:rFonts w:hint="eastAsia" w:ascii="仿宋" w:hAnsi="仿宋" w:eastAsia="仿宋"/>
          <w:sz w:val="32"/>
          <w:szCs w:val="32"/>
          <w:lang w:eastAsia="zh-CN"/>
        </w:rPr>
        <w:t>国内公务接待</w:t>
      </w:r>
      <w:r>
        <w:rPr>
          <w:rFonts w:hint="eastAsia" w:ascii="仿宋" w:hAnsi="仿宋" w:eastAsia="仿宋"/>
          <w:sz w:val="32"/>
          <w:szCs w:val="32"/>
          <w:lang w:val="en-US" w:eastAsia="zh-CN"/>
        </w:rPr>
        <w:t>19批次，165人。</w:t>
      </w:r>
      <w:r>
        <w:rPr>
          <w:rFonts w:ascii="仿宋" w:hAnsi="仿宋" w:eastAsia="仿宋"/>
          <w:sz w:val="32"/>
          <w:szCs w:val="32"/>
        </w:rPr>
        <w:t>比上年减少0.48万元，减少37.2%。公务接待减少原因是压缩公务接待。</w:t>
      </w:r>
      <w:r>
        <w:rPr>
          <w:rFonts w:hint="eastAsia" w:ascii="仿宋" w:hAnsi="仿宋" w:eastAsia="仿宋"/>
          <w:sz w:val="32"/>
          <w:szCs w:val="32"/>
          <w:lang w:eastAsia="zh-CN"/>
        </w:rPr>
        <w:t>公务接待</w:t>
      </w:r>
      <w:r>
        <w:rPr>
          <w:rFonts w:hint="eastAsia" w:ascii="仿宋" w:hAnsi="仿宋" w:eastAsia="仿宋"/>
          <w:sz w:val="32"/>
          <w:szCs w:val="32"/>
          <w:lang w:val="en-US" w:eastAsia="zh-CN"/>
        </w:rPr>
        <w:t>19批次，165人。</w:t>
      </w:r>
    </w:p>
    <w:p>
      <w:pPr>
        <w:ind w:firstLine="640" w:firstLineChars="200"/>
        <w:rPr>
          <w:rFonts w:ascii="仿宋" w:hAnsi="仿宋" w:eastAsia="仿宋"/>
          <w:sz w:val="32"/>
          <w:szCs w:val="32"/>
        </w:rPr>
      </w:pPr>
      <w:r>
        <w:rPr>
          <w:rFonts w:ascii="仿宋" w:hAnsi="仿宋" w:eastAsia="仿宋"/>
          <w:sz w:val="32"/>
          <w:szCs w:val="32"/>
        </w:rPr>
        <w:t>2、因公出国（境）费用</w:t>
      </w:r>
    </w:p>
    <w:p>
      <w:pPr>
        <w:ind w:firstLine="640" w:firstLineChars="200"/>
        <w:rPr>
          <w:rFonts w:ascii="仿宋" w:hAnsi="仿宋" w:eastAsia="仿宋"/>
          <w:sz w:val="32"/>
          <w:szCs w:val="32"/>
        </w:rPr>
      </w:pPr>
      <w:r>
        <w:rPr>
          <w:rFonts w:ascii="仿宋" w:hAnsi="仿宋" w:eastAsia="仿宋"/>
          <w:sz w:val="32"/>
          <w:szCs w:val="32"/>
        </w:rPr>
        <w:t>2017年因公出国（境）</w:t>
      </w:r>
      <w:r>
        <w:rPr>
          <w:rFonts w:hint="eastAsia" w:ascii="仿宋" w:hAnsi="仿宋" w:eastAsia="仿宋"/>
          <w:sz w:val="32"/>
          <w:szCs w:val="32"/>
          <w:lang w:eastAsia="zh-CN"/>
        </w:rPr>
        <w:t>人数为</w:t>
      </w:r>
      <w:r>
        <w:rPr>
          <w:rFonts w:hint="eastAsia" w:ascii="仿宋" w:hAnsi="仿宋" w:eastAsia="仿宋"/>
          <w:sz w:val="32"/>
          <w:szCs w:val="32"/>
          <w:lang w:val="en-US" w:eastAsia="zh-CN"/>
        </w:rPr>
        <w:t>0，批次为0 ；</w:t>
      </w:r>
      <w:r>
        <w:rPr>
          <w:rFonts w:ascii="仿宋" w:hAnsi="仿宋" w:eastAsia="仿宋"/>
          <w:sz w:val="32"/>
          <w:szCs w:val="32"/>
        </w:rPr>
        <w:t>费用0万元，上年因公出国（境）费用0万元。</w:t>
      </w:r>
    </w:p>
    <w:p>
      <w:pPr>
        <w:ind w:firstLine="640" w:firstLineChars="200"/>
        <w:rPr>
          <w:rFonts w:ascii="仿宋" w:hAnsi="仿宋" w:eastAsia="仿宋"/>
          <w:sz w:val="32"/>
          <w:szCs w:val="32"/>
        </w:rPr>
      </w:pPr>
      <w:r>
        <w:rPr>
          <w:rFonts w:ascii="仿宋" w:hAnsi="仿宋" w:eastAsia="仿宋"/>
          <w:sz w:val="32"/>
          <w:szCs w:val="32"/>
        </w:rPr>
        <w:t>3、公务用车维护费</w:t>
      </w:r>
    </w:p>
    <w:p>
      <w:pPr>
        <w:ind w:firstLine="640" w:firstLineChars="200"/>
        <w:rPr>
          <w:rFonts w:ascii="仿宋" w:hAnsi="仿宋" w:eastAsia="仿宋"/>
          <w:sz w:val="32"/>
          <w:szCs w:val="32"/>
        </w:rPr>
      </w:pPr>
      <w:r>
        <w:rPr>
          <w:rFonts w:ascii="仿宋" w:hAnsi="仿宋" w:eastAsia="仿宋"/>
          <w:sz w:val="32"/>
          <w:szCs w:val="32"/>
        </w:rPr>
        <w:t>2017年公务用车运行维护费支出5.88万元，比上年增加0.66万元，增长12.6%，公务用车运行维护费增长的原因主要是车辆时间较长，车辆维修费用大，造成比去年同期费用增加，公务用车购置0万元。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公务用车维护费：燃油费</w:t>
      </w:r>
      <w:r>
        <w:rPr>
          <w:rFonts w:hint="eastAsia" w:ascii="仿宋" w:hAnsi="仿宋" w:eastAsia="仿宋"/>
          <w:sz w:val="32"/>
          <w:szCs w:val="32"/>
          <w:lang w:val="en-US" w:eastAsia="zh-CN"/>
        </w:rPr>
        <w:t>2.66万元、维修及保养1.86万元、保险费0.39万元、过路费0.97万元。</w:t>
      </w:r>
    </w:p>
    <w:p>
      <w:pPr>
        <w:numPr>
          <w:ilvl w:val="0"/>
          <w:numId w:val="3"/>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公务用车购置保有量</w:t>
      </w:r>
    </w:p>
    <w:p>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2017年我单位公务用车购置费用为0万元，2016年公务用车购置费用为0万元，无增幅变动。</w:t>
      </w:r>
    </w:p>
    <w:p>
      <w:pPr>
        <w:numPr>
          <w:ilvl w:val="0"/>
          <w:numId w:val="4"/>
        </w:num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机关运行经费支出情况  </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sz w:val="32"/>
          <w:szCs w:val="32"/>
          <w:lang w:val="en-US" w:eastAsia="zh-CN"/>
        </w:rPr>
        <w:t>2017年机关运行经费支出94.58万元，比上年减少73.3万元，减少43.67%。</w:t>
      </w:r>
      <w:r>
        <w:rPr>
          <w:rFonts w:hint="eastAsia" w:ascii="宋体" w:hAnsi="宋体" w:eastAsia="宋体" w:cs="宋体"/>
          <w:color w:val="auto"/>
          <w:sz w:val="32"/>
          <w:szCs w:val="32"/>
          <w:highlight w:val="none"/>
          <w:lang w:val="en-US" w:eastAsia="zh-CN"/>
        </w:rPr>
        <w:t>减少的原因是：</w:t>
      </w:r>
      <w:r>
        <w:rPr>
          <w:rFonts w:hint="eastAsia" w:ascii="宋体" w:hAnsi="宋体" w:cs="宋体"/>
          <w:color w:val="auto"/>
          <w:sz w:val="32"/>
          <w:szCs w:val="32"/>
          <w:highlight w:val="none"/>
          <w:lang w:val="en-US" w:eastAsia="zh-CN"/>
        </w:rPr>
        <w:t>缩减</w:t>
      </w:r>
      <w:r>
        <w:rPr>
          <w:rFonts w:hint="eastAsia" w:ascii="仿宋_GB2312" w:hAnsi="仿宋_GB2312" w:eastAsia="仿宋_GB2312" w:cs="仿宋_GB2312"/>
          <w:sz w:val="32"/>
          <w:szCs w:val="32"/>
          <w:lang w:eastAsia="zh-CN"/>
        </w:rPr>
        <w:t>办公经费开支，缩减电费水费等，提倡节约节俭。</w:t>
      </w:r>
    </w:p>
    <w:p>
      <w:pPr>
        <w:numPr>
          <w:ilvl w:val="0"/>
          <w:numId w:val="0"/>
        </w:numPr>
        <w:ind w:firstLine="640"/>
        <w:rPr>
          <w:rFonts w:hint="eastAsia"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支出情况：办公费9.89万元、电费31.53万元、邮电费3.32万元、差旅费11.09万元、公务接待0.82万元、劳务费18.11万元、公务用车维护费5.88万元、其他商品服务支出13.94万元。</w:t>
      </w:r>
    </w:p>
    <w:p>
      <w:pPr>
        <w:numPr>
          <w:ilvl w:val="0"/>
          <w:numId w:val="0"/>
        </w:numPr>
        <w:ind w:firstLine="640"/>
        <w:rPr>
          <w:rFonts w:ascii="仿宋" w:hAnsi="仿宋" w:eastAsia="仿宋"/>
          <w:b/>
          <w:bCs/>
          <w:sz w:val="32"/>
          <w:szCs w:val="32"/>
        </w:rPr>
      </w:pPr>
      <w:r>
        <w:rPr>
          <w:rFonts w:hint="eastAsia" w:ascii="仿宋" w:hAnsi="仿宋" w:eastAsia="仿宋"/>
          <w:b/>
          <w:bCs/>
          <w:sz w:val="32"/>
          <w:szCs w:val="32"/>
        </w:rPr>
        <w:t>（</w:t>
      </w:r>
      <w:r>
        <w:rPr>
          <w:rFonts w:hint="eastAsia" w:ascii="仿宋" w:hAnsi="仿宋" w:eastAsia="仿宋"/>
          <w:b/>
          <w:bCs/>
          <w:sz w:val="32"/>
          <w:szCs w:val="32"/>
          <w:lang w:eastAsia="zh-CN"/>
        </w:rPr>
        <w:t>四</w:t>
      </w:r>
      <w:r>
        <w:rPr>
          <w:rFonts w:hint="eastAsia" w:ascii="仿宋" w:hAnsi="仿宋" w:eastAsia="仿宋"/>
          <w:b/>
          <w:bCs/>
          <w:sz w:val="32"/>
          <w:szCs w:val="32"/>
        </w:rPr>
        <w:t>）国有资产占用情况</w:t>
      </w:r>
    </w:p>
    <w:p>
      <w:pPr>
        <w:spacing w:line="600" w:lineRule="atLeast"/>
        <w:ind w:firstLine="640" w:firstLineChars="200"/>
        <w:rPr>
          <w:rFonts w:ascii="仿宋" w:hAnsi="仿宋" w:eastAsia="仿宋"/>
          <w:sz w:val="32"/>
          <w:szCs w:val="32"/>
        </w:rPr>
      </w:pPr>
      <w:r>
        <w:rPr>
          <w:rFonts w:ascii="仿宋" w:hAnsi="仿宋" w:eastAsia="仿宋"/>
          <w:sz w:val="32"/>
          <w:szCs w:val="32"/>
        </w:rPr>
        <w:t>2017年固定资产2657.33万元，比上年减少11.86万元，减少0.44%。减少原因是处置警用面包车一台价值5.6万元、打印机复印一体机价值4.53万元、电脑一台价值0.65万元、晒图机一台价值1.08万元。固定资产主要包含：一、办公用房17842.86平方米，价值2156.47万元；二、公务车辆3台，价值53.29元；三、其他固定资产447.57万元。</w:t>
      </w:r>
    </w:p>
    <w:p>
      <w:pPr>
        <w:numPr>
          <w:ilvl w:val="0"/>
          <w:numId w:val="5"/>
        </w:numPr>
        <w:spacing w:line="600" w:lineRule="atLeas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eastAsia="zh-CN"/>
        </w:rPr>
        <w:t>政府采购执行情况</w:t>
      </w:r>
    </w:p>
    <w:p>
      <w:pPr>
        <w:numPr>
          <w:ilvl w:val="0"/>
          <w:numId w:val="0"/>
        </w:numPr>
        <w:spacing w:line="600" w:lineRule="atLeas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2017年我单位无政府采购</w:t>
      </w:r>
    </w:p>
    <w:p>
      <w:pPr>
        <w:pStyle w:val="5"/>
        <w:keepNext w:val="0"/>
        <w:keepLines w:val="0"/>
        <w:pageBreakBefore w:val="0"/>
        <w:kinsoku/>
        <w:wordWrap/>
        <w:overflowPunct/>
        <w:topLinePunct w:val="0"/>
        <w:autoSpaceDE/>
        <w:autoSpaceDN/>
        <w:bidi w:val="0"/>
        <w:adjustRightInd/>
        <w:snapToGrid/>
        <w:spacing w:beforeAutospacing="0" w:afterAutospacing="0" w:line="600" w:lineRule="atLeast"/>
        <w:jc w:val="center"/>
        <w:textAlignment w:val="auto"/>
        <w:outlineLvl w:val="9"/>
        <w:rPr>
          <w:rFonts w:hint="eastAsia" w:ascii="仿宋" w:hAnsi="仿宋" w:eastAsia="仿宋" w:cs="仿宋"/>
          <w:b/>
          <w:bCs/>
          <w:sz w:val="44"/>
          <w:szCs w:val="44"/>
        </w:rPr>
      </w:pPr>
      <w:r>
        <w:rPr>
          <w:rFonts w:hint="eastAsia" w:ascii="仿宋" w:hAnsi="仿宋" w:eastAsia="仿宋" w:cs="仿宋"/>
          <w:b/>
          <w:bCs/>
          <w:sz w:val="44"/>
          <w:szCs w:val="44"/>
        </w:rPr>
        <w:t>三、名词解释</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atLeas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一、基本支出：指行政事业单位用于为保障其机构正常运转、完成日常工作任务而发生的人员支出和公用支出。</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atLeas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二、项目支出：指在基本支出之外为完成特定的行政工作任务或事业发展目标所发生的支出。</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atLeas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atLeas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600" w:lineRule="atLeast"/>
        <w:textAlignment w:val="auto"/>
        <w:outlineLvl w:val="9"/>
        <w:rPr>
          <w:rFonts w:ascii="仿宋" w:hAnsi="仿宋" w:eastAsia="仿宋"/>
          <w:sz w:val="32"/>
          <w:szCs w:val="32"/>
        </w:rPr>
      </w:pPr>
      <w:r>
        <w:rPr>
          <w:rFonts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9298D3"/>
    <w:multiLevelType w:val="singleLevel"/>
    <w:tmpl w:val="BE9298D3"/>
    <w:lvl w:ilvl="0" w:tentative="0">
      <w:start w:val="3"/>
      <w:numFmt w:val="chineseCounting"/>
      <w:suff w:val="nothing"/>
      <w:lvlText w:val="(%1）"/>
      <w:lvlJc w:val="left"/>
      <w:rPr>
        <w:rFonts w:hint="eastAsia"/>
      </w:rPr>
    </w:lvl>
  </w:abstractNum>
  <w:abstractNum w:abstractNumId="1">
    <w:nsid w:val="F389AF3C"/>
    <w:multiLevelType w:val="singleLevel"/>
    <w:tmpl w:val="F389AF3C"/>
    <w:lvl w:ilvl="0" w:tentative="0">
      <w:start w:val="4"/>
      <w:numFmt w:val="decimal"/>
      <w:suff w:val="nothing"/>
      <w:lvlText w:val="%1、"/>
      <w:lvlJc w:val="left"/>
    </w:lvl>
  </w:abstractNum>
  <w:abstractNum w:abstractNumId="2">
    <w:nsid w:val="08A13844"/>
    <w:multiLevelType w:val="singleLevel"/>
    <w:tmpl w:val="08A13844"/>
    <w:lvl w:ilvl="0" w:tentative="0">
      <w:start w:val="5"/>
      <w:numFmt w:val="chineseCounting"/>
      <w:suff w:val="nothing"/>
      <w:lvlText w:val="（%1）"/>
      <w:lvlJc w:val="left"/>
      <w:rPr>
        <w:rFonts w:hint="eastAsia"/>
      </w:rPr>
    </w:lvl>
  </w:abstractNum>
  <w:abstractNum w:abstractNumId="3">
    <w:nsid w:val="1ADE7230"/>
    <w:multiLevelType w:val="multilevel"/>
    <w:tmpl w:val="1ADE7230"/>
    <w:lvl w:ilvl="0" w:tentative="0">
      <w:start w:val="1"/>
      <w:numFmt w:val="decimal"/>
      <w:lvlText w:val="%1、"/>
      <w:lvlJc w:val="left"/>
      <w:pPr>
        <w:tabs>
          <w:tab w:val="left" w:pos="720"/>
        </w:tabs>
        <w:ind w:left="720" w:hanging="720"/>
      </w:pPr>
      <w:rPr>
        <w:rFonts w:hint="default" w:ascii="Times New Roman" w:hAnsi="Times New Roman" w:cs="Times New Roman"/>
      </w:rPr>
    </w:lvl>
    <w:lvl w:ilvl="1" w:tentative="0">
      <w:start w:val="5"/>
      <w:numFmt w:val="japaneseCounting"/>
      <w:lvlText w:val="%2、"/>
      <w:lvlJc w:val="left"/>
      <w:pPr>
        <w:tabs>
          <w:tab w:val="left" w:pos="900"/>
        </w:tabs>
        <w:ind w:left="900" w:hanging="7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7AF14111"/>
    <w:multiLevelType w:val="multilevel"/>
    <w:tmpl w:val="7AF14111"/>
    <w:lvl w:ilvl="0" w:tentative="0">
      <w:start w:val="2"/>
      <w:numFmt w:val="japaneseCounting"/>
      <w:lvlText w:val="%1、"/>
      <w:lvlJc w:val="left"/>
      <w:pPr>
        <w:tabs>
          <w:tab w:val="left" w:pos="1350"/>
        </w:tabs>
        <w:ind w:left="1350" w:hanging="720"/>
      </w:pPr>
      <w:rPr>
        <w:rFonts w:hint="default" w:ascii="Times New Roman" w:hAnsi="Times New Roman" w:cs="Times New Roman"/>
      </w:rPr>
    </w:lvl>
    <w:lvl w:ilvl="1" w:tentative="0">
      <w:start w:val="1"/>
      <w:numFmt w:val="lowerLetter"/>
      <w:lvlText w:val="%2)"/>
      <w:lvlJc w:val="left"/>
      <w:pPr>
        <w:tabs>
          <w:tab w:val="left" w:pos="1470"/>
        </w:tabs>
        <w:ind w:left="1470" w:hanging="420"/>
      </w:pPr>
      <w:rPr>
        <w:rFonts w:hint="default" w:ascii="Times New Roman" w:hAnsi="Times New Roman" w:cs="Times New Roman"/>
      </w:rPr>
    </w:lvl>
    <w:lvl w:ilvl="2" w:tentative="0">
      <w:start w:val="1"/>
      <w:numFmt w:val="lowerRoman"/>
      <w:lvlText w:val="%3."/>
      <w:lvlJc w:val="right"/>
      <w:pPr>
        <w:tabs>
          <w:tab w:val="left" w:pos="1890"/>
        </w:tabs>
        <w:ind w:left="1890" w:hanging="420"/>
      </w:pPr>
      <w:rPr>
        <w:rFonts w:hint="default" w:ascii="Times New Roman" w:hAnsi="Times New Roman" w:cs="Times New Roman"/>
      </w:rPr>
    </w:lvl>
    <w:lvl w:ilvl="3" w:tentative="0">
      <w:start w:val="1"/>
      <w:numFmt w:val="decimal"/>
      <w:lvlText w:val="%4."/>
      <w:lvlJc w:val="left"/>
      <w:pPr>
        <w:tabs>
          <w:tab w:val="left" w:pos="2310"/>
        </w:tabs>
        <w:ind w:left="2310" w:hanging="420"/>
      </w:pPr>
      <w:rPr>
        <w:rFonts w:hint="default" w:ascii="Times New Roman" w:hAnsi="Times New Roman" w:cs="Times New Roman"/>
      </w:rPr>
    </w:lvl>
    <w:lvl w:ilvl="4" w:tentative="0">
      <w:start w:val="1"/>
      <w:numFmt w:val="lowerLetter"/>
      <w:lvlText w:val="%5)"/>
      <w:lvlJc w:val="left"/>
      <w:pPr>
        <w:tabs>
          <w:tab w:val="left" w:pos="2730"/>
        </w:tabs>
        <w:ind w:left="2730" w:hanging="420"/>
      </w:pPr>
      <w:rPr>
        <w:rFonts w:hint="default" w:ascii="Times New Roman" w:hAnsi="Times New Roman" w:cs="Times New Roman"/>
      </w:rPr>
    </w:lvl>
    <w:lvl w:ilvl="5" w:tentative="0">
      <w:start w:val="1"/>
      <w:numFmt w:val="lowerRoman"/>
      <w:lvlText w:val="%6."/>
      <w:lvlJc w:val="right"/>
      <w:pPr>
        <w:tabs>
          <w:tab w:val="left" w:pos="3150"/>
        </w:tabs>
        <w:ind w:left="3150" w:hanging="420"/>
      </w:pPr>
      <w:rPr>
        <w:rFonts w:hint="default" w:ascii="Times New Roman" w:hAnsi="Times New Roman" w:cs="Times New Roman"/>
      </w:rPr>
    </w:lvl>
    <w:lvl w:ilvl="6" w:tentative="0">
      <w:start w:val="1"/>
      <w:numFmt w:val="decimal"/>
      <w:lvlText w:val="%7."/>
      <w:lvlJc w:val="left"/>
      <w:pPr>
        <w:tabs>
          <w:tab w:val="left" w:pos="3570"/>
        </w:tabs>
        <w:ind w:left="3570" w:hanging="420"/>
      </w:pPr>
      <w:rPr>
        <w:rFonts w:hint="default" w:ascii="Times New Roman" w:hAnsi="Times New Roman" w:cs="Times New Roman"/>
      </w:rPr>
    </w:lvl>
    <w:lvl w:ilvl="7" w:tentative="0">
      <w:start w:val="1"/>
      <w:numFmt w:val="lowerLetter"/>
      <w:lvlText w:val="%8)"/>
      <w:lvlJc w:val="left"/>
      <w:pPr>
        <w:tabs>
          <w:tab w:val="left" w:pos="3990"/>
        </w:tabs>
        <w:ind w:left="3990" w:hanging="420"/>
      </w:pPr>
      <w:rPr>
        <w:rFonts w:hint="default" w:ascii="Times New Roman" w:hAnsi="Times New Roman" w:cs="Times New Roman"/>
      </w:rPr>
    </w:lvl>
    <w:lvl w:ilvl="8" w:tentative="0">
      <w:start w:val="1"/>
      <w:numFmt w:val="lowerRoman"/>
      <w:lvlText w:val="%9."/>
      <w:lvlJc w:val="right"/>
      <w:pPr>
        <w:tabs>
          <w:tab w:val="left" w:pos="4410"/>
        </w:tabs>
        <w:ind w:left="4410" w:hanging="420"/>
      </w:pPr>
      <w:rPr>
        <w:rFonts w:hint="default" w:ascii="Times New Roman" w:hAnsi="Times New Roman" w:cs="Times New Roman"/>
      </w:rPr>
    </w:lvl>
  </w:abstractNum>
  <w:num w:numId="1">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C7"/>
    <w:rsid w:val="00247C1E"/>
    <w:rsid w:val="007439C7"/>
    <w:rsid w:val="12733C46"/>
    <w:rsid w:val="13B1201F"/>
    <w:rsid w:val="14C835A4"/>
    <w:rsid w:val="18A70BBC"/>
    <w:rsid w:val="1DBA0DA8"/>
    <w:rsid w:val="26CD6139"/>
    <w:rsid w:val="28883630"/>
    <w:rsid w:val="2FBC2750"/>
    <w:rsid w:val="321831D3"/>
    <w:rsid w:val="35CA62AE"/>
    <w:rsid w:val="38622F1E"/>
    <w:rsid w:val="442E7EB9"/>
    <w:rsid w:val="4BE00815"/>
    <w:rsid w:val="4D8F7445"/>
    <w:rsid w:val="4F665427"/>
    <w:rsid w:val="51E22013"/>
    <w:rsid w:val="523C3452"/>
    <w:rsid w:val="52801ACC"/>
    <w:rsid w:val="58231B8D"/>
    <w:rsid w:val="59B561EB"/>
    <w:rsid w:val="5CD11500"/>
    <w:rsid w:val="66D6517F"/>
    <w:rsid w:val="6BF025A9"/>
    <w:rsid w:val="6EF234B5"/>
    <w:rsid w:val="70521397"/>
    <w:rsid w:val="7A1F1BFB"/>
    <w:rsid w:val="7F3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List Paragraph"/>
    <w:basedOn w:val="1"/>
    <w:qFormat/>
    <w:uiPriority w:val="0"/>
    <w:pPr>
      <w:ind w:firstLine="420" w:firstLineChars="200"/>
    </w:pPr>
    <w:rPr>
      <w:rFonts w:ascii="Calibri" w:hAnsi="Calibri"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319</Words>
  <Characters>1823</Characters>
  <Lines>15</Lines>
  <Paragraphs>4</Paragraphs>
  <TotalTime>0</TotalTime>
  <ScaleCrop>false</ScaleCrop>
  <LinksUpToDate>false</LinksUpToDate>
  <CharactersWithSpaces>2138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2018-10-25T06:40:00Z</dcterms:created>
  <dc:creator>Administrator</dc:creator>
  <cp:lastModifiedBy>萌主</cp:lastModifiedBy>
  <dcterms:modified xsi:type="dcterms:W3CDTF">2018-10-26T07:43:45Z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