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581A">
      <w:pPr>
        <w:widowControl w:val="0"/>
        <w:wordWrap/>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304F8F16">
      <w:pPr>
        <w:widowControl w:val="0"/>
        <w:wordWrap/>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19920EA6">
      <w:pPr>
        <w:widowControl w:val="0"/>
        <w:wordWrap/>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30</w:t>
      </w:r>
      <w:r>
        <w:rPr>
          <w:rFonts w:hint="default" w:ascii="Times New Roman" w:hAnsi="Times New Roman" w:eastAsia="仿宋_GB2312" w:cs="Times New Roman"/>
          <w:b w:val="0"/>
          <w:bCs w:val="0"/>
          <w:spacing w:val="0"/>
          <w:sz w:val="32"/>
          <w:szCs w:val="32"/>
          <w:lang w:eastAsia="zh-CN"/>
        </w:rPr>
        <w:t>号</w:t>
      </w:r>
    </w:p>
    <w:p w14:paraId="05EEE563">
      <w:pPr>
        <w:widowControl w:val="0"/>
        <w:wordWrap/>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27D227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申请人：吴某某，男，40岁，身份证号：xxx</w:t>
      </w:r>
    </w:p>
    <w:p w14:paraId="3139B883">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：无锡市新吴区长江一号6号楼。</w:t>
      </w:r>
    </w:p>
    <w:p w14:paraId="3277E5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0254FB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2149D0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387568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不服被申请人对其投诉举报的处理，于2024年3月12日向本机关申请行政复议，本机关依法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3A9C267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：确认被申请人超过法定期限告知申请人投诉不予受理的行为违法。</w:t>
      </w:r>
    </w:p>
    <w:p w14:paraId="0374F07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于2023年12月30日通过向被申请人邮寄挂号信投诉举报洛阳某某商贸有限公司滴眼液购物一案（单号xc01110669632），经查，被申请人2024年1月2日签收，被申请人于2024年1月12日告知举报投诉不予受理。根据《市场监督管理投诉举报处理暂行办法》第四条：国家市场监督管理总局主管全国投诉举报处理工作，指导地方市场监督管理部门投诉举报处理工作。被申请人具有处理投诉举报的法定职责。县级以上地方市场监督管理部门负责本行政区域内的投诉举报处理工作。依据该法第十四条：具有本办法规定的处理权限的市场监督管理部门，应当自收到投诉之日起七个工作日内作出受理或者不予受理的决定，并告知投诉人。本案中，被申请人2024年1月2日收到投诉举报信，应在收到之日起七个工作日内将是否手里投诉的结果依法告知投诉人；最晚到2024年1月10日。被申请人超过法定期限2024年1月12日才告知申请人不予受理属于违法，侵犯了申请人及时知情权，属于违法。根据《市场监督管理投诉举报处理暂行办法》第五条“市场监督管理部门处理投诉举报，应当遵循公正、高效的原则，做到使用依据正确、程序合法”及《行政复议法》“违法必纠”的基本原则，请求复议机关确认被申请人处理申请人的投诉超期告知不予受理、属于违法。</w:t>
      </w:r>
    </w:p>
    <w:p w14:paraId="78CF1EC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：一是申请人在2023年12月30日向我局邮寄投诉举报洛阳某某商贸有限公司滴眼液购物纠纷一案，申请人反映我局是在2024年1月2日签收，2024年1月12日告知举报</w:t>
      </w:r>
      <w:bookmarkStart w:id="0" w:name="_GoBack"/>
      <w:bookmarkEnd w:id="0"/>
      <w:r>
        <w:rPr>
          <w:rFonts w:hint="eastAsia" w:ascii="Times New Roman" w:hAnsi="Times New Roman" w:eastAsia="仿宋_GB2312" w:cs="Times New Roman"/>
          <w:b w:val="0"/>
          <w:bCs w:val="0"/>
          <w:spacing w:val="0"/>
          <w:sz w:val="32"/>
          <w:szCs w:val="32"/>
          <w:lang w:val="en-US" w:eastAsia="zh-CN"/>
        </w:rPr>
        <w:t>投诉不予受理。对此我局不予认可，经调查邮局是在2024年1月8日将投诉信件送至我局，我局是在收到投诉信后于2024年1月12日告知申请人对其举报投诉不予受理，依照《市场监督管理投诉举报处理暂行办法》第十四条之规定我局是在收到投诉之日起七个工作日之内告知申请人对其举报投诉不予受理，不存在有违法行为。二是我们是按照法定职责履行职责。</w:t>
      </w:r>
    </w:p>
    <w:p w14:paraId="42A668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综上所述，请洛阳市老城区司法局维持被申请人对其投诉举报不予受理行政决定，驳回申请人的行政复议。</w:t>
      </w:r>
    </w:p>
    <w:p w14:paraId="464455E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12月30日，申请人吴某某向被申请人洛阳市老城区市场监督管理局邮寄一份投诉举报信，投诉举报其购买的洛阳某某商贸有限公司在天猫店铺“豫医堂保健用品专营店”销售的麦粒肿滴眼液针眼滴眼液红肿热痛麦粒肿眼贴视物模糊医用眼药水广告存在违法行为。被申请人老城区市场监督管理局于2024年1月2日签收申请人的投诉举报信后，于2024年1月11日安排执法人员到被投诉举报人处进行现场检查，制作了现场笔录，并通过该公司工作人员查看网店被投诉商品，未见申请人所举报的广告内容。于2024年1月12日通过短信告知申请人：“吴某某：你好，我局于2024年1月8日收到你关于洛阳某某商贸有限公司的投诉举报信件，经现场检查后回复如下：根据举报洛阳某某商贸有限公司在天猫店铺“豫医堂保健用品专营店”经营的麦粒肿滴眼液针眼滴眼液红肿热痛麦粒肿眼贴视物模糊医用眼药水广告违规的内容，经我局执法人员上网查看，未见你所举报的广告内容。依据《市场监督管理投诉举报处理暂行办法》之规定，你举报的事实不属实，证据不足。我局决定对你上述举报投诉不予受理。”</w:t>
      </w:r>
    </w:p>
    <w:p w14:paraId="1AFED9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以上事实有投诉举报信及邮寄凭证、购买商品照片、购买记录、现场检查笔录、天猫网站店铺及商品展示</w:t>
      </w:r>
      <w:r>
        <w:rPr>
          <w:rFonts w:hint="eastAsia" w:ascii="Times New Roman" w:hAnsi="Times New Roman" w:eastAsia="仿宋_GB2312" w:cs="Times New Roman"/>
          <w:b w:val="0"/>
          <w:bCs w:val="0"/>
          <w:color w:val="auto"/>
          <w:spacing w:val="0"/>
          <w:sz w:val="32"/>
          <w:szCs w:val="32"/>
          <w:lang w:val="en-US" w:eastAsia="zh-CN"/>
        </w:rPr>
        <w:t>、短信告知截图</w:t>
      </w:r>
      <w:r>
        <w:rPr>
          <w:rFonts w:hint="eastAsia" w:ascii="Times New Roman" w:hAnsi="Times New Roman" w:eastAsia="仿宋_GB2312" w:cs="Times New Roman"/>
          <w:b w:val="0"/>
          <w:bCs w:val="0"/>
          <w:spacing w:val="0"/>
          <w:sz w:val="32"/>
          <w:szCs w:val="32"/>
          <w:lang w:val="en-US" w:eastAsia="zh-CN"/>
        </w:rPr>
        <w:t>等证据材料予以证明。</w:t>
      </w:r>
    </w:p>
    <w:p w14:paraId="4FC97C2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依据《市场监督管理投诉举报处理暂行办法》</w:t>
      </w:r>
      <w:r>
        <w:rPr>
          <w:rFonts w:hint="eastAsia" w:ascii="Times New Roman" w:hAnsi="Times New Roman" w:eastAsia="仿宋_GB2312" w:cs="Times New Roman"/>
          <w:b w:val="0"/>
          <w:bCs w:val="0"/>
          <w:spacing w:val="0"/>
          <w:sz w:val="32"/>
          <w:szCs w:val="32"/>
          <w:lang w:val="en-US" w:eastAsia="zh-CN"/>
        </w:rPr>
        <w:t>第十四条：“具有本办法规定的处理权限的市场监督管理部门，应当自收到投诉之日起七个工作日内作出受理或者不予受理的决定，并告知投诉人。”之规定，被申请人于2024年1月2日签收申请人的投诉举报信后，应当在七个工作日内告知申请人对其投诉是否受理，但被申请人直到2024年1</w:t>
      </w:r>
      <w:r>
        <w:rPr>
          <w:rFonts w:hint="eastAsia" w:ascii="Times New Roman" w:hAnsi="Times New Roman" w:eastAsia="仿宋_GB2312" w:cs="Times New Roman"/>
          <w:b w:val="0"/>
          <w:bCs w:val="0"/>
          <w:color w:val="auto"/>
          <w:spacing w:val="0"/>
          <w:sz w:val="32"/>
          <w:szCs w:val="32"/>
          <w:lang w:val="en-US" w:eastAsia="zh-CN"/>
        </w:rPr>
        <w:t>月12日</w:t>
      </w:r>
      <w:r>
        <w:rPr>
          <w:rFonts w:hint="eastAsia" w:ascii="Times New Roman" w:hAnsi="Times New Roman" w:eastAsia="仿宋_GB2312" w:cs="Times New Roman"/>
          <w:b w:val="0"/>
          <w:bCs w:val="0"/>
          <w:spacing w:val="0"/>
          <w:sz w:val="32"/>
          <w:szCs w:val="32"/>
          <w:lang w:val="en-US" w:eastAsia="zh-CN"/>
        </w:rPr>
        <w:t>才通过短信告知申请人不予受理，显然已经超过法律规定的告知期限，属程序违法。</w:t>
      </w:r>
      <w:r>
        <w:rPr>
          <w:rFonts w:hint="eastAsia" w:ascii="Times New Roman" w:hAnsi="Times New Roman" w:eastAsia="仿宋_GB2312" w:cs="Times New Roman"/>
          <w:b w:val="0"/>
          <w:bCs/>
          <w:spacing w:val="0"/>
          <w:sz w:val="32"/>
          <w:szCs w:val="32"/>
          <w:lang w:val="en-US" w:eastAsia="zh-CN"/>
        </w:rPr>
        <w:t>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六十五</w:t>
      </w:r>
      <w:r>
        <w:rPr>
          <w:rFonts w:eastAsia="仿宋_GB2312"/>
          <w:spacing w:val="0"/>
          <w:sz w:val="32"/>
          <w:szCs w:val="32"/>
        </w:rPr>
        <w:t>条</w:t>
      </w:r>
      <w:r>
        <w:rPr>
          <w:rFonts w:hint="eastAsia" w:eastAsia="仿宋_GB2312"/>
          <w:spacing w:val="0"/>
          <w:sz w:val="32"/>
          <w:szCs w:val="32"/>
        </w:rPr>
        <w:t>第一款第</w:t>
      </w:r>
      <w:r>
        <w:rPr>
          <w:rFonts w:hint="eastAsia" w:eastAsia="仿宋_GB2312"/>
          <w:spacing w:val="0"/>
          <w:sz w:val="32"/>
          <w:szCs w:val="32"/>
          <w:lang w:eastAsia="zh-CN"/>
        </w:rPr>
        <w:t>（</w:t>
      </w:r>
      <w:r>
        <w:rPr>
          <w:rFonts w:hint="eastAsia" w:eastAsia="仿宋_GB2312"/>
          <w:spacing w:val="0"/>
          <w:sz w:val="32"/>
          <w:szCs w:val="32"/>
          <w:lang w:val="en-US" w:eastAsia="zh-CN"/>
        </w:rPr>
        <w:t>二</w:t>
      </w:r>
      <w:r>
        <w:rPr>
          <w:rFonts w:hint="eastAsia" w:eastAsia="仿宋_GB2312"/>
          <w:spacing w:val="0"/>
          <w:sz w:val="32"/>
          <w:szCs w:val="32"/>
          <w:lang w:eastAsia="zh-CN"/>
        </w:rPr>
        <w:t>）</w:t>
      </w:r>
      <w:r>
        <w:rPr>
          <w:rFonts w:hint="eastAsia" w:eastAsia="仿宋_GB2312"/>
          <w:spacing w:val="0"/>
          <w:sz w:val="32"/>
          <w:szCs w:val="32"/>
        </w:rPr>
        <w:t>项</w:t>
      </w:r>
      <w:r>
        <w:rPr>
          <w:rFonts w:eastAsia="仿宋_GB2312"/>
          <w:spacing w:val="0"/>
          <w:sz w:val="32"/>
          <w:szCs w:val="32"/>
        </w:rPr>
        <w:t>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2B6D71B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确认被申请人对申请人的投诉超过法定期限告知是否受理的行为违法。</w:t>
      </w:r>
    </w:p>
    <w:p w14:paraId="6FB978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洛阳市老城区</w:t>
      </w:r>
      <w:r>
        <w:rPr>
          <w:rFonts w:hint="default" w:ascii="Times New Roman" w:hAnsi="Times New Roman" w:eastAsia="仿宋_GB2312" w:cs="Times New Roman"/>
          <w:spacing w:val="0"/>
          <w:sz w:val="32"/>
          <w:szCs w:val="32"/>
        </w:rPr>
        <w:t>人民法院起诉</w:t>
      </w:r>
      <w:r>
        <w:rPr>
          <w:rFonts w:hint="eastAsia" w:ascii="Times New Roman" w:hAnsi="Times New Roman" w:eastAsia="仿宋_GB2312" w:cs="Times New Roman"/>
          <w:spacing w:val="0"/>
          <w:sz w:val="32"/>
          <w:szCs w:val="32"/>
          <w:lang w:eastAsia="zh-CN"/>
        </w:rPr>
        <w:t>。</w:t>
      </w:r>
    </w:p>
    <w:p w14:paraId="32E7B0B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sz w:val="32"/>
          <w:szCs w:val="32"/>
          <w:lang w:val="en-US" w:eastAsia="zh-CN"/>
        </w:rPr>
      </w:pPr>
    </w:p>
    <w:p w14:paraId="0E0655EF">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仿宋_GB2312" w:cs="Times New Roman"/>
          <w:spacing w:val="0"/>
          <w:sz w:val="32"/>
          <w:szCs w:val="32"/>
        </w:rPr>
      </w:pPr>
    </w:p>
    <w:p w14:paraId="1894B730">
      <w:pPr>
        <w:keepNext w:val="0"/>
        <w:keepLines w:val="0"/>
        <w:pageBreakBefore w:val="0"/>
        <w:widowControl w:val="0"/>
        <w:kinsoku/>
        <w:wordWrap/>
        <w:overflowPunct/>
        <w:topLinePunct w:val="0"/>
        <w:autoSpaceDE/>
        <w:autoSpaceDN/>
        <w:bidi w:val="0"/>
        <w:adjustRightInd/>
        <w:snapToGrid/>
        <w:spacing w:line="60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4DCC0CAF">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10</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CA870">
    <w:pPr>
      <w:pStyle w:val="2"/>
      <w:tabs>
        <w:tab w:val="center" w:pos="4479"/>
        <w:tab w:val="clear" w:pos="4153"/>
      </w:tabs>
    </w:pPr>
    <w:r>
      <w:rPr>
        <w:rFonts w:ascii="Calibri" w:hAnsi="Calibri" w:eastAsia="宋体" w:cs="Times New Roman"/>
        <w:kern w:val="2"/>
        <w:sz w:val="18"/>
        <w:szCs w:val="24"/>
        <w:lang w:val="en-US" w:eastAsia="zh-CN" w:bidi="ar-SA"/>
      </w:rPr>
      <w:pict>
        <v:rect id="文本框 2"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279CA94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IzZTgwN2YzMGQ0NWU1NmE4ZTNmZDcwNmFjZmE0MTcifQ=="/>
  </w:docVars>
  <w:rsids>
    <w:rsidRoot w:val="00000000"/>
    <w:rsid w:val="011E1FE4"/>
    <w:rsid w:val="01633E9B"/>
    <w:rsid w:val="03E017D2"/>
    <w:rsid w:val="05F81055"/>
    <w:rsid w:val="08D5567E"/>
    <w:rsid w:val="092C7268"/>
    <w:rsid w:val="0A546A76"/>
    <w:rsid w:val="0B6E3B68"/>
    <w:rsid w:val="0C4843B9"/>
    <w:rsid w:val="0EAF071F"/>
    <w:rsid w:val="10B244F7"/>
    <w:rsid w:val="110A60E1"/>
    <w:rsid w:val="12096398"/>
    <w:rsid w:val="120D5E88"/>
    <w:rsid w:val="1212349F"/>
    <w:rsid w:val="12A3059B"/>
    <w:rsid w:val="1323348A"/>
    <w:rsid w:val="14DA401C"/>
    <w:rsid w:val="182D6E15"/>
    <w:rsid w:val="19B906A4"/>
    <w:rsid w:val="1A792B56"/>
    <w:rsid w:val="1AE94FB9"/>
    <w:rsid w:val="1BD712B5"/>
    <w:rsid w:val="1EF7031F"/>
    <w:rsid w:val="1FFF6411"/>
    <w:rsid w:val="226F2247"/>
    <w:rsid w:val="22F20495"/>
    <w:rsid w:val="25BC57A4"/>
    <w:rsid w:val="29115E06"/>
    <w:rsid w:val="29F60FE5"/>
    <w:rsid w:val="2B591CE7"/>
    <w:rsid w:val="2B85488A"/>
    <w:rsid w:val="2BF67536"/>
    <w:rsid w:val="2C666469"/>
    <w:rsid w:val="2C884632"/>
    <w:rsid w:val="2CDF621C"/>
    <w:rsid w:val="2E644C2A"/>
    <w:rsid w:val="2FC17E5A"/>
    <w:rsid w:val="311A380A"/>
    <w:rsid w:val="32803FFD"/>
    <w:rsid w:val="33F95E15"/>
    <w:rsid w:val="340C5B48"/>
    <w:rsid w:val="386677F1"/>
    <w:rsid w:val="3A2B0CF2"/>
    <w:rsid w:val="3C3A521C"/>
    <w:rsid w:val="3C5462DE"/>
    <w:rsid w:val="3D3D4FC4"/>
    <w:rsid w:val="3D74475E"/>
    <w:rsid w:val="3DEC0798"/>
    <w:rsid w:val="40CF23D7"/>
    <w:rsid w:val="4B9E1324"/>
    <w:rsid w:val="4C5B7215"/>
    <w:rsid w:val="4D9A3D6D"/>
    <w:rsid w:val="4E30647F"/>
    <w:rsid w:val="4E4A7541"/>
    <w:rsid w:val="4E816CDB"/>
    <w:rsid w:val="50675BF1"/>
    <w:rsid w:val="50964CC0"/>
    <w:rsid w:val="50A62A29"/>
    <w:rsid w:val="514F4E6E"/>
    <w:rsid w:val="52FC2DD4"/>
    <w:rsid w:val="548117E3"/>
    <w:rsid w:val="554C057B"/>
    <w:rsid w:val="56C360E3"/>
    <w:rsid w:val="5C8A744A"/>
    <w:rsid w:val="5CAB38A1"/>
    <w:rsid w:val="5F5C70D4"/>
    <w:rsid w:val="5F9A7BFD"/>
    <w:rsid w:val="5FBE3A3F"/>
    <w:rsid w:val="5FCD1D80"/>
    <w:rsid w:val="614B7400"/>
    <w:rsid w:val="629923ED"/>
    <w:rsid w:val="688B27D8"/>
    <w:rsid w:val="689B5EC2"/>
    <w:rsid w:val="6AF97ECD"/>
    <w:rsid w:val="6B317667"/>
    <w:rsid w:val="6DA5405F"/>
    <w:rsid w:val="6FB95E7D"/>
    <w:rsid w:val="70C1323B"/>
    <w:rsid w:val="70FA674D"/>
    <w:rsid w:val="717402AD"/>
    <w:rsid w:val="722021E3"/>
    <w:rsid w:val="76E00193"/>
    <w:rsid w:val="787768D5"/>
    <w:rsid w:val="7D5B05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1841</Words>
  <Characters>1954</Characters>
  <Lines>0</Lines>
  <Paragraphs>0</Paragraphs>
  <TotalTime>21</TotalTime>
  <ScaleCrop>false</ScaleCrop>
  <LinksUpToDate>false</LinksUpToDate>
  <CharactersWithSpaces>2012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法制</dc:creator>
  <cp:lastModifiedBy>Alasely娜</cp:lastModifiedBy>
  <cp:lastPrinted>2023-04-24T11:06:00Z</cp:lastPrinted>
  <dcterms:modified xsi:type="dcterms:W3CDTF">2024-11-06T08:21:58Z</dcterms:modified>
  <dc:title>法制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