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7AFFF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eastAsia="zh-CN"/>
        </w:rPr>
        <w:t>洛阳市老城区人民政府</w:t>
      </w:r>
    </w:p>
    <w:p w14:paraId="34A2D93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eastAsia="zh-CN"/>
        </w:rPr>
        <w:t>行政复议决定书</w:t>
      </w:r>
    </w:p>
    <w:p w14:paraId="37B3B1B9">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仿宋" w:hAnsi="仿宋" w:eastAsia="仿宋" w:cs="仿宋"/>
          <w:b w:val="0"/>
          <w:bCs w:val="0"/>
          <w:spacing w:val="0"/>
          <w:sz w:val="32"/>
          <w:szCs w:val="32"/>
          <w:lang w:eastAsia="zh-CN"/>
        </w:rPr>
      </w:pPr>
      <w:r>
        <w:rPr>
          <w:rFonts w:hint="eastAsia" w:ascii="仿宋" w:hAnsi="仿宋" w:eastAsia="仿宋" w:cs="仿宋"/>
          <w:b w:val="0"/>
          <w:bCs w:val="0"/>
          <w:spacing w:val="0"/>
          <w:sz w:val="32"/>
          <w:szCs w:val="32"/>
          <w:lang w:val="en-US" w:eastAsia="zh-CN"/>
        </w:rPr>
        <w:t xml:space="preserve">      </w:t>
      </w:r>
      <w:r>
        <w:rPr>
          <w:rFonts w:hint="default" w:ascii="Times New Roman" w:hAnsi="Times New Roman" w:eastAsia="仿宋_GB2312" w:cs="Times New Roman"/>
          <w:b w:val="0"/>
          <w:bCs w:val="0"/>
          <w:spacing w:val="0"/>
          <w:sz w:val="32"/>
          <w:szCs w:val="32"/>
          <w:lang w:eastAsia="zh-CN"/>
        </w:rPr>
        <w:t>老政复决字〔202</w:t>
      </w:r>
      <w:r>
        <w:rPr>
          <w:rFonts w:hint="eastAsia" w:ascii="Times New Roman" w:hAnsi="Times New Roman" w:eastAsia="仿宋_GB2312" w:cs="Times New Roman"/>
          <w:b w:val="0"/>
          <w:bCs w:val="0"/>
          <w:spacing w:val="0"/>
          <w:sz w:val="32"/>
          <w:szCs w:val="32"/>
          <w:lang w:val="en-US" w:eastAsia="zh-CN"/>
        </w:rPr>
        <w:t>4</w:t>
      </w:r>
      <w:r>
        <w:rPr>
          <w:rFonts w:hint="default" w:ascii="Times New Roman" w:hAnsi="Times New Roman" w:eastAsia="仿宋_GB2312" w:cs="Times New Roman"/>
          <w:b w:val="0"/>
          <w:bCs w:val="0"/>
          <w:spacing w:val="0"/>
          <w:sz w:val="32"/>
          <w:szCs w:val="32"/>
          <w:lang w:eastAsia="zh-CN"/>
        </w:rPr>
        <w:t>〕第</w:t>
      </w:r>
      <w:r>
        <w:rPr>
          <w:rFonts w:hint="eastAsia" w:ascii="Times New Roman" w:hAnsi="Times New Roman" w:eastAsia="仿宋_GB2312" w:cs="Times New Roman"/>
          <w:b w:val="0"/>
          <w:bCs w:val="0"/>
          <w:spacing w:val="0"/>
          <w:sz w:val="32"/>
          <w:szCs w:val="32"/>
          <w:lang w:val="en-US" w:eastAsia="zh-CN"/>
        </w:rPr>
        <w:t>14</w:t>
      </w:r>
      <w:r>
        <w:rPr>
          <w:rFonts w:hint="default" w:ascii="Times New Roman" w:hAnsi="Times New Roman" w:eastAsia="仿宋_GB2312" w:cs="Times New Roman"/>
          <w:b w:val="0"/>
          <w:bCs w:val="0"/>
          <w:spacing w:val="0"/>
          <w:sz w:val="32"/>
          <w:szCs w:val="32"/>
          <w:lang w:eastAsia="zh-CN"/>
        </w:rPr>
        <w:t>号</w:t>
      </w:r>
    </w:p>
    <w:p w14:paraId="7439076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仿宋_GB2312" w:cs="Times New Roman"/>
          <w:spacing w:val="0"/>
          <w:sz w:val="32"/>
          <w:szCs w:val="32"/>
          <w:lang w:val="en-US" w:eastAsia="zh-CN"/>
        </w:rPr>
      </w:pPr>
    </w:p>
    <w:p w14:paraId="59025E7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 xml:space="preserve">申请人：许某某，男，29岁，身份证号：XXX。 </w:t>
      </w:r>
    </w:p>
    <w:p w14:paraId="45FA1CB5">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现住</w:t>
      </w:r>
      <w:r>
        <w:rPr>
          <w:rFonts w:hint="default" w:ascii="Times New Roman" w:hAnsi="Times New Roman" w:eastAsia="仿宋_GB2312" w:cs="Times New Roman"/>
          <w:spacing w:val="0"/>
          <w:sz w:val="32"/>
          <w:szCs w:val="32"/>
          <w:lang w:val="en-US" w:eastAsia="zh-CN"/>
        </w:rPr>
        <w:t>址</w:t>
      </w:r>
      <w:r>
        <w:rPr>
          <w:rFonts w:hint="eastAsia" w:ascii="Times New Roman" w:hAnsi="Times New Roman" w:eastAsia="仿宋_GB2312" w:cs="Times New Roman"/>
          <w:spacing w:val="0"/>
          <w:sz w:val="32"/>
          <w:szCs w:val="32"/>
          <w:lang w:val="en-US" w:eastAsia="zh-CN"/>
        </w:rPr>
        <w:t xml:space="preserve">：广西南宁市兴宁区。 </w:t>
      </w:r>
    </w:p>
    <w:p w14:paraId="77E3DFB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被申请人：</w:t>
      </w:r>
      <w:r>
        <w:rPr>
          <w:rFonts w:hint="eastAsia" w:ascii="Times New Roman" w:hAnsi="Times New Roman" w:eastAsia="仿宋_GB2312" w:cs="Times New Roman"/>
          <w:spacing w:val="0"/>
          <w:sz w:val="32"/>
          <w:szCs w:val="32"/>
          <w:lang w:val="en-US" w:eastAsia="zh-CN"/>
        </w:rPr>
        <w:t>洛阳市老城区市场监督管理局。</w:t>
      </w:r>
    </w:p>
    <w:p w14:paraId="69A46D9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法定代表人：</w:t>
      </w:r>
      <w:r>
        <w:rPr>
          <w:rFonts w:hint="eastAsia" w:ascii="Times New Roman" w:hAnsi="Times New Roman" w:eastAsia="仿宋_GB2312" w:cs="Times New Roman"/>
          <w:spacing w:val="0"/>
          <w:sz w:val="32"/>
          <w:szCs w:val="32"/>
          <w:lang w:val="en-US" w:eastAsia="zh-CN"/>
        </w:rPr>
        <w:t>王晓毅 局长。</w:t>
      </w:r>
    </w:p>
    <w:p w14:paraId="3DB744E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地</w:t>
      </w:r>
      <w:r>
        <w:rPr>
          <w:rFonts w:hint="eastAsia"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lang w:val="en-US" w:eastAsia="zh-CN"/>
        </w:rPr>
        <w:t>址：</w:t>
      </w:r>
      <w:r>
        <w:rPr>
          <w:rFonts w:hint="eastAsia" w:ascii="Times New Roman" w:hAnsi="Times New Roman" w:eastAsia="仿宋_GB2312" w:cs="Times New Roman"/>
          <w:spacing w:val="0"/>
          <w:sz w:val="32"/>
          <w:szCs w:val="32"/>
          <w:lang w:val="en-US" w:eastAsia="zh-CN"/>
        </w:rPr>
        <w:t>洛阳市老城区中州东路216号。</w:t>
      </w:r>
      <w:r>
        <w:rPr>
          <w:rFonts w:hint="default" w:ascii="Times New Roman" w:hAnsi="Times New Roman" w:eastAsia="仿宋_GB2312" w:cs="Times New Roman"/>
          <w:spacing w:val="0"/>
          <w:sz w:val="32"/>
          <w:szCs w:val="32"/>
          <w:lang w:val="en-US" w:eastAsia="zh-CN"/>
        </w:rPr>
        <w:t xml:space="preserve"> </w:t>
      </w:r>
    </w:p>
    <w:p w14:paraId="521E503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申请人</w:t>
      </w:r>
      <w:r>
        <w:rPr>
          <w:rFonts w:hint="eastAsia" w:ascii="Times New Roman" w:hAnsi="Times New Roman" w:eastAsia="仿宋_GB2312" w:cs="Times New Roman"/>
          <w:spacing w:val="0"/>
          <w:sz w:val="32"/>
          <w:szCs w:val="32"/>
          <w:lang w:val="en-US" w:eastAsia="zh-CN"/>
        </w:rPr>
        <w:t>不服被申请人对其投诉举报的处理，于2024年1月8日向本机关申请行政复议，本机关依法</w:t>
      </w:r>
      <w:r>
        <w:rPr>
          <w:rFonts w:hint="default" w:ascii="Times New Roman" w:hAnsi="Times New Roman" w:eastAsia="仿宋_GB2312" w:cs="Times New Roman"/>
          <w:spacing w:val="0"/>
          <w:sz w:val="32"/>
          <w:szCs w:val="32"/>
          <w:lang w:val="en-US" w:eastAsia="zh-CN"/>
        </w:rPr>
        <w:t>受理</w:t>
      </w:r>
      <w:r>
        <w:rPr>
          <w:rFonts w:hint="eastAsia" w:ascii="Times New Roman" w:hAnsi="Times New Roman" w:eastAsia="仿宋_GB2312" w:cs="Times New Roman"/>
          <w:spacing w:val="0"/>
          <w:sz w:val="32"/>
          <w:szCs w:val="32"/>
          <w:lang w:val="en-US" w:eastAsia="zh-CN"/>
        </w:rPr>
        <w:t>并适用简易程序</w:t>
      </w:r>
      <w:r>
        <w:rPr>
          <w:rFonts w:hint="default" w:ascii="Times New Roman" w:hAnsi="Times New Roman" w:eastAsia="仿宋_GB2312" w:cs="Times New Roman"/>
          <w:spacing w:val="0"/>
          <w:sz w:val="32"/>
          <w:szCs w:val="32"/>
          <w:lang w:val="en-US" w:eastAsia="zh-CN"/>
        </w:rPr>
        <w:t>，</w:t>
      </w:r>
      <w:r>
        <w:rPr>
          <w:rFonts w:hint="eastAsia" w:ascii="Times New Roman" w:hAnsi="Times New Roman" w:eastAsia="仿宋_GB2312" w:cs="Times New Roman"/>
          <w:spacing w:val="0"/>
          <w:sz w:val="32"/>
          <w:szCs w:val="32"/>
          <w:lang w:val="en-US" w:eastAsia="zh-CN"/>
        </w:rPr>
        <w:t>现</w:t>
      </w:r>
      <w:r>
        <w:rPr>
          <w:rFonts w:hint="default" w:ascii="Times New Roman" w:hAnsi="Times New Roman" w:eastAsia="仿宋_GB2312" w:cs="Times New Roman"/>
          <w:spacing w:val="0"/>
          <w:sz w:val="32"/>
          <w:szCs w:val="32"/>
          <w:lang w:val="en-US" w:eastAsia="zh-CN"/>
        </w:rPr>
        <w:t>已审理终结。</w:t>
      </w:r>
    </w:p>
    <w:p w14:paraId="3015816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b/>
          <w:bCs/>
          <w:spacing w:val="0"/>
          <w:sz w:val="32"/>
          <w:szCs w:val="32"/>
          <w:lang w:val="en-US" w:eastAsia="zh-CN"/>
        </w:rPr>
        <w:t>复议请求</w:t>
      </w:r>
      <w:r>
        <w:rPr>
          <w:rFonts w:hint="eastAsia" w:ascii="Times New Roman" w:hAnsi="Times New Roman" w:eastAsia="仿宋_GB2312" w:cs="Times New Roman"/>
          <w:spacing w:val="0"/>
          <w:sz w:val="32"/>
          <w:szCs w:val="32"/>
          <w:lang w:val="en-US" w:eastAsia="zh-CN"/>
        </w:rPr>
        <w:t>：确认被申请人未在法定期限内处理申请人的投诉的行政行为违法；责令被申请人限期重新作出处理。</w:t>
      </w:r>
    </w:p>
    <w:p w14:paraId="71D29C5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bCs/>
          <w:spacing w:val="0"/>
          <w:sz w:val="32"/>
          <w:szCs w:val="32"/>
          <w:lang w:val="en-US" w:eastAsia="zh-CN"/>
        </w:rPr>
        <w:t>申请人称</w:t>
      </w:r>
      <w:r>
        <w:rPr>
          <w:rFonts w:hint="eastAsia" w:ascii="Times New Roman" w:hAnsi="Times New Roman" w:eastAsia="仿宋_GB2312" w:cs="Times New Roman"/>
          <w:b w:val="0"/>
          <w:bCs w:val="0"/>
          <w:spacing w:val="0"/>
          <w:sz w:val="32"/>
          <w:szCs w:val="32"/>
          <w:lang w:val="en-US" w:eastAsia="zh-CN"/>
        </w:rPr>
        <w:t>：申请人于2023年10月在被申请人处投诉举报洛阳市</w:t>
      </w:r>
      <w:bookmarkStart w:id="0" w:name="_GoBack"/>
      <w:bookmarkEnd w:id="0"/>
      <w:r>
        <w:rPr>
          <w:rFonts w:hint="eastAsia" w:ascii="Times New Roman" w:hAnsi="Times New Roman" w:eastAsia="仿宋_GB2312" w:cs="Times New Roman"/>
          <w:b w:val="0"/>
          <w:bCs w:val="0"/>
          <w:spacing w:val="0"/>
          <w:sz w:val="32"/>
          <w:szCs w:val="32"/>
          <w:lang w:val="en-US" w:eastAsia="zh-CN"/>
        </w:rPr>
        <w:t>某某香料有限公司生产的“炸酱面调味酱”不符合《食品安全法》等相关规定。申请人于2023年11月15日收到被申请人作出的《告知函》称不予立案，但是未就申请人的投诉作出任何处理，申请人不服，遂复议。申请人认为，依照《市场监督管理投诉举报处理暂行办法》第七条：向市场监督管理部门同时提出投诉和举报，或者提供的材料同时包含投诉和举报内容的，市场监督管理部门应当按照本办法规定的程序对投诉和举报予以分别处理。以及第十六条：市场监督管理部门经投诉人和被投诉人同意，采用调解的方式处理投诉，但法律、法规另有规定的，依照其规定。被申请人具有处理申请人的投诉的法定职责，但是其未就申请人的投诉作出任何处理属于未依法履行法定职责。</w:t>
      </w:r>
    </w:p>
    <w:p w14:paraId="725160C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bCs/>
          <w:spacing w:val="0"/>
          <w:sz w:val="32"/>
          <w:szCs w:val="32"/>
          <w:lang w:val="en-US" w:eastAsia="zh-CN"/>
        </w:rPr>
        <w:t>被申请人答复</w:t>
      </w:r>
      <w:r>
        <w:rPr>
          <w:rFonts w:hint="eastAsia" w:ascii="Times New Roman" w:hAnsi="Times New Roman" w:eastAsia="仿宋_GB2312" w:cs="Times New Roman"/>
          <w:b w:val="0"/>
          <w:bCs w:val="0"/>
          <w:spacing w:val="0"/>
          <w:sz w:val="32"/>
          <w:szCs w:val="32"/>
          <w:lang w:val="en-US" w:eastAsia="zh-CN"/>
        </w:rPr>
        <w:t>：许某某是向洛阳市市场监管局进行的投诉举报，市局12315接到投诉举报信件后，于2023年10月18日经初查电话核实，已对许某某作出投诉不予受理决定书。遂将举报从全国12315平台转办我局核查。我局于2023年10月20日10时50分49秒，接到全国12315平台转办登记编号21410300002023102006688577许某某的举报（关于洛阳市某某香料有限公司所生产的“杂酱面调味料”产品标签的相关问题），附件列表有投诉举报资料，根据举报人提供的材料及所述情况，经我局调查对于举报人的举报不予立案，并在规定期限内将告知书邮寄给许某某。依据《市场监督管理投诉举报处理暂行办法》第七条：向市场监督管理部门同时提出投诉和举报，或者提供的材料同时包含投诉和举报内容的，市场监督管理部门应当按照本办法规定的程序对投诉和举报予以分别处理之规定，申请人投诉事项已由洛阳市市场监管局处理，举报由市局12315分送转办我局进行核查。因此，我局不存在未按规定履行职责的行为。综上，申请人的诉求没有事实与法律依据，请求复议机关依法驳回被申请人的全部复议请求。</w:t>
      </w:r>
    </w:p>
    <w:p w14:paraId="66B542C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bCs/>
          <w:spacing w:val="0"/>
          <w:sz w:val="32"/>
          <w:szCs w:val="32"/>
          <w:lang w:val="en-US" w:eastAsia="zh-CN"/>
        </w:rPr>
        <w:t>经审理查明</w:t>
      </w:r>
      <w:r>
        <w:rPr>
          <w:rFonts w:hint="eastAsia" w:ascii="Times New Roman" w:hAnsi="Times New Roman" w:eastAsia="仿宋_GB2312" w:cs="Times New Roman"/>
          <w:b w:val="0"/>
          <w:bCs w:val="0"/>
          <w:spacing w:val="0"/>
          <w:sz w:val="32"/>
          <w:szCs w:val="32"/>
          <w:lang w:val="en-US" w:eastAsia="zh-CN"/>
        </w:rPr>
        <w:t>：</w:t>
      </w:r>
      <w:r>
        <w:rPr>
          <w:rFonts w:hint="eastAsia" w:ascii="Times New Roman" w:hAnsi="Times New Roman" w:eastAsia="仿宋_GB2312" w:cs="Times New Roman"/>
          <w:b w:val="0"/>
          <w:bCs w:val="0"/>
          <w:color w:val="auto"/>
          <w:spacing w:val="0"/>
          <w:sz w:val="32"/>
          <w:szCs w:val="32"/>
          <w:lang w:val="en-US" w:eastAsia="zh-CN"/>
        </w:rPr>
        <w:t>2023年10月</w:t>
      </w:r>
      <w:r>
        <w:rPr>
          <w:rFonts w:hint="eastAsia" w:ascii="Times New Roman" w:hAnsi="Times New Roman" w:eastAsia="仿宋_GB2312" w:cs="Times New Roman"/>
          <w:b w:val="0"/>
          <w:bCs w:val="0"/>
          <w:spacing w:val="0"/>
          <w:sz w:val="32"/>
          <w:szCs w:val="32"/>
          <w:lang w:val="en-US" w:eastAsia="zh-CN"/>
        </w:rPr>
        <w:t>，申请人许某某向洛阳市市场监督管理局提交一份投诉举报书，投诉举报其购买的洛阳市某某香料有限公司生产的“肖家香料炸酱面调味酱”涉嫌存在食品标签问题，具体内容为：“投诉举报人于2023年9月11日至来自购生活广场真爱店购买生活用品，期间购得被举报单位生产的‘炸酱面调味酱’1袋，生产日期：2023.4.21。购买后发现涉案产品有以下违法行为：经查，涉案产品标注食品名称‘炸酱面调味酱’，其使用较小字体的方式标注‘调味’，该行为足以误导消费者认为涉案产品是面制品，违反了《GB7718预包装食品标签通则》3.4等相关规定。综上，请你单位对被投诉举报单位的违法行为进行查处并对本人奖励。”洛阳市市场监督管理局收到申请人的投诉举报后，经调查，于2023年10月18日对申请人作出市场监管</w:t>
      </w:r>
      <w:r>
        <w:rPr>
          <w:rFonts w:hint="default" w:ascii="Times New Roman" w:hAnsi="Times New Roman" w:eastAsia="仿宋_GB2312" w:cs="Times New Roman"/>
          <w:b w:val="0"/>
          <w:bCs w:val="0"/>
          <w:spacing w:val="0"/>
          <w:sz w:val="32"/>
          <w:szCs w:val="32"/>
          <w:lang w:eastAsia="zh-CN"/>
        </w:rPr>
        <w:t>〔202</w:t>
      </w:r>
      <w:r>
        <w:rPr>
          <w:rFonts w:hint="eastAsia" w:ascii="Times New Roman" w:hAnsi="Times New Roman" w:eastAsia="仿宋_GB2312" w:cs="Times New Roman"/>
          <w:b w:val="0"/>
          <w:bCs w:val="0"/>
          <w:spacing w:val="0"/>
          <w:sz w:val="32"/>
          <w:szCs w:val="32"/>
          <w:lang w:val="en-US" w:eastAsia="zh-CN"/>
        </w:rPr>
        <w:t>3</w:t>
      </w:r>
      <w:r>
        <w:rPr>
          <w:rFonts w:hint="default" w:ascii="Times New Roman" w:hAnsi="Times New Roman" w:eastAsia="仿宋_GB2312" w:cs="Times New Roman"/>
          <w:b w:val="0"/>
          <w:bCs w:val="0"/>
          <w:spacing w:val="0"/>
          <w:sz w:val="32"/>
          <w:szCs w:val="32"/>
          <w:lang w:eastAsia="zh-CN"/>
        </w:rPr>
        <w:t>〕</w:t>
      </w:r>
      <w:r>
        <w:rPr>
          <w:rFonts w:hint="eastAsia" w:ascii="Times New Roman" w:hAnsi="Times New Roman" w:eastAsia="仿宋_GB2312" w:cs="Times New Roman"/>
          <w:b w:val="0"/>
          <w:bCs w:val="0"/>
          <w:spacing w:val="0"/>
          <w:sz w:val="32"/>
          <w:szCs w:val="32"/>
          <w:lang w:val="en-US" w:eastAsia="zh-CN"/>
        </w:rPr>
        <w:t>第215号《投诉不予受理决定书》，告知申请人：“许某某：我局于2023年10月16日收到你关于洛阳市某某香料有限公司的投诉。经初查，并与你电话核实，你购物的‘来自购生活广场真爱店’实际经营地在枣庄市，不在我局管辖区域。依据《市场监督管理投诉举报处理暂行办法》的规定，我局决定不予受理。”2023年10月20日，洛阳市市场监督管理局将申请人的举报通过全国12315平台分送转办给被申请人，被申请人经到被投诉举报人处现场检查、调取证据等程序，认定申请人的举报事项不成立。2023年11月6日，被申请人向申请人作出《告知函》，告知申请人：“许某某：我局于2023年10月20日收到市局分送转办函，关于你投诉举报洛阳市某某香料有限公司‘杂酱面调味酱’标签标注相关问题，经现场调查现回复如下：1.未发现有你举报生产日期为2023年4月21日的‘杂酱面调味酱’，洛阳市某某香料有限公司向我局执法人员提供了检验报告和第三方关于产品标签的检测报告，均显示为合格产品。2.根据《预包装食品标签通则》GB7718-2011中4.1.2.2.2中规定‘当食品真实属性的专用名称因字号或字体颜色不同易使人误解食品属性时，也应使用同一字号及同一字体颜色标示食品真实属性的专用名称。’该公司所谓能造成消费者‘误解’的产品名称，也使用了同一字号标示食品真实属性的专用名称。综上，对于你所反映的问题不予立案。”</w:t>
      </w:r>
    </w:p>
    <w:p w14:paraId="5C51825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以上事实有投诉举报书、购买商品照片、购买记录、投诉不予受理决定书、全国12315平台转办页面截图、现场检查笔录、</w:t>
      </w:r>
      <w:r>
        <w:rPr>
          <w:rFonts w:hint="eastAsia" w:ascii="Times New Roman" w:hAnsi="Times New Roman" w:eastAsia="仿宋_GB2312" w:cs="Times New Roman"/>
          <w:b w:val="0"/>
          <w:bCs w:val="0"/>
          <w:color w:val="auto"/>
          <w:spacing w:val="0"/>
          <w:sz w:val="32"/>
          <w:szCs w:val="32"/>
          <w:lang w:val="en-US" w:eastAsia="zh-CN"/>
        </w:rPr>
        <w:t>商家营业执照、食品生产许可证、第三方检测报告、告知函</w:t>
      </w:r>
      <w:r>
        <w:rPr>
          <w:rFonts w:hint="eastAsia" w:ascii="Times New Roman" w:hAnsi="Times New Roman" w:eastAsia="仿宋_GB2312" w:cs="Times New Roman"/>
          <w:b w:val="0"/>
          <w:bCs w:val="0"/>
          <w:spacing w:val="0"/>
          <w:sz w:val="32"/>
          <w:szCs w:val="32"/>
          <w:lang w:val="en-US" w:eastAsia="zh-CN"/>
        </w:rPr>
        <w:t>等证据材料予以证明。</w:t>
      </w:r>
    </w:p>
    <w:p w14:paraId="52EE1AE3">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outlineLvl w:val="9"/>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b/>
          <w:spacing w:val="0"/>
          <w:sz w:val="32"/>
          <w:szCs w:val="32"/>
        </w:rPr>
        <w:t>复议机关认为：</w:t>
      </w:r>
      <w:r>
        <w:rPr>
          <w:rFonts w:hint="eastAsia" w:ascii="Times New Roman" w:hAnsi="Times New Roman" w:eastAsia="仿宋_GB2312" w:cs="Times New Roman"/>
          <w:b w:val="0"/>
          <w:bCs/>
          <w:spacing w:val="0"/>
          <w:sz w:val="32"/>
          <w:szCs w:val="32"/>
          <w:lang w:val="en-US" w:eastAsia="zh-CN"/>
        </w:rPr>
        <w:t>依据《市场监督管理投诉举报处理暂行办法》</w:t>
      </w:r>
      <w:r>
        <w:rPr>
          <w:rFonts w:hint="eastAsia" w:ascii="Times New Roman" w:hAnsi="Times New Roman" w:eastAsia="仿宋_GB2312" w:cs="Times New Roman"/>
          <w:b w:val="0"/>
          <w:bCs w:val="0"/>
          <w:spacing w:val="0"/>
          <w:sz w:val="32"/>
          <w:szCs w:val="32"/>
          <w:lang w:val="en-US" w:eastAsia="zh-CN"/>
        </w:rPr>
        <w:t>第十四条：“具有本办法规定的处理权限的市场监督管理部门，应当自收到投诉之日起七个工作日内作出受理或者不予受理的决定，并告知投诉人。”洛阳市市场监督管理局收到申请人的投诉举报书后，经调查对申请人作出市场监管</w:t>
      </w:r>
      <w:r>
        <w:rPr>
          <w:rFonts w:hint="default" w:ascii="Times New Roman" w:hAnsi="Times New Roman" w:eastAsia="仿宋_GB2312" w:cs="Times New Roman"/>
          <w:b w:val="0"/>
          <w:bCs w:val="0"/>
          <w:spacing w:val="0"/>
          <w:sz w:val="32"/>
          <w:szCs w:val="32"/>
          <w:lang w:eastAsia="zh-CN"/>
        </w:rPr>
        <w:t>〔202</w:t>
      </w:r>
      <w:r>
        <w:rPr>
          <w:rFonts w:hint="eastAsia" w:ascii="Times New Roman" w:hAnsi="Times New Roman" w:eastAsia="仿宋_GB2312" w:cs="Times New Roman"/>
          <w:b w:val="0"/>
          <w:bCs w:val="0"/>
          <w:spacing w:val="0"/>
          <w:sz w:val="32"/>
          <w:szCs w:val="32"/>
          <w:lang w:val="en-US" w:eastAsia="zh-CN"/>
        </w:rPr>
        <w:t>3</w:t>
      </w:r>
      <w:r>
        <w:rPr>
          <w:rFonts w:hint="default" w:ascii="Times New Roman" w:hAnsi="Times New Roman" w:eastAsia="仿宋_GB2312" w:cs="Times New Roman"/>
          <w:b w:val="0"/>
          <w:bCs w:val="0"/>
          <w:spacing w:val="0"/>
          <w:sz w:val="32"/>
          <w:szCs w:val="32"/>
          <w:lang w:eastAsia="zh-CN"/>
        </w:rPr>
        <w:t>〕</w:t>
      </w:r>
      <w:r>
        <w:rPr>
          <w:rFonts w:hint="eastAsia" w:ascii="Times New Roman" w:hAnsi="Times New Roman" w:eastAsia="仿宋_GB2312" w:cs="Times New Roman"/>
          <w:b w:val="0"/>
          <w:bCs w:val="0"/>
          <w:spacing w:val="0"/>
          <w:sz w:val="32"/>
          <w:szCs w:val="32"/>
          <w:lang w:val="en-US" w:eastAsia="zh-CN"/>
        </w:rPr>
        <w:t>第215号《投诉不予受理决定书》，告知申请人对其投诉不予受理。洛阳市市场监督管理局将申请人的举报事项分送转办给被申请人办理，被申请人经调查对申请人作出《告知函》，告知申请人对其举报不予立案。申请人是向洛阳市市场监督管理局投诉举报的，洛阳市市场监督管理局已经对申请人的投诉事项予以处理，并未转办给被申请人办理，因此，被申请人没有处理投诉事项的法定职责。</w:t>
      </w:r>
      <w:r>
        <w:rPr>
          <w:rFonts w:hint="eastAsia" w:ascii="Times New Roman" w:hAnsi="Times New Roman" w:eastAsia="仿宋_GB2312" w:cs="Times New Roman"/>
          <w:b w:val="0"/>
          <w:bCs/>
          <w:spacing w:val="0"/>
          <w:sz w:val="32"/>
          <w:szCs w:val="32"/>
          <w:lang w:val="en-US" w:eastAsia="zh-CN"/>
        </w:rPr>
        <w:t>综上所述，</w:t>
      </w:r>
      <w:r>
        <w:rPr>
          <w:rFonts w:hint="eastAsia" w:ascii="Times New Roman" w:hAnsi="Times New Roman" w:eastAsia="仿宋_GB2312" w:cs="Times New Roman"/>
          <w:spacing w:val="0"/>
          <w:sz w:val="32"/>
          <w:szCs w:val="32"/>
          <w:lang w:val="en-US" w:eastAsia="zh-CN"/>
        </w:rPr>
        <w:t>依据</w:t>
      </w:r>
      <w:r>
        <w:rPr>
          <w:rFonts w:hint="default" w:ascii="Times New Roman" w:hAnsi="Times New Roman" w:eastAsia="仿宋_GB2312" w:cs="Times New Roman"/>
          <w:spacing w:val="0"/>
          <w:sz w:val="32"/>
          <w:szCs w:val="32"/>
          <w:lang w:val="en-US" w:eastAsia="zh-CN"/>
        </w:rPr>
        <w:t>《中华人民共和国行政复议法》</w:t>
      </w:r>
      <w:r>
        <w:rPr>
          <w:rFonts w:eastAsia="仿宋_GB2312"/>
          <w:spacing w:val="0"/>
          <w:sz w:val="32"/>
          <w:szCs w:val="32"/>
        </w:rPr>
        <w:t>第</w:t>
      </w:r>
      <w:r>
        <w:rPr>
          <w:rFonts w:hint="eastAsia" w:eastAsia="仿宋_GB2312"/>
          <w:spacing w:val="0"/>
          <w:sz w:val="32"/>
          <w:szCs w:val="32"/>
          <w:lang w:val="en-US" w:eastAsia="zh-CN"/>
        </w:rPr>
        <w:t>六十九</w:t>
      </w:r>
      <w:r>
        <w:rPr>
          <w:rFonts w:eastAsia="仿宋_GB2312"/>
          <w:spacing w:val="0"/>
          <w:sz w:val="32"/>
          <w:szCs w:val="32"/>
        </w:rPr>
        <w:t>条之规定</w:t>
      </w:r>
      <w:r>
        <w:rPr>
          <w:rFonts w:hint="eastAsia" w:eastAsia="仿宋_GB2312"/>
          <w:spacing w:val="0"/>
          <w:sz w:val="32"/>
          <w:szCs w:val="32"/>
          <w:lang w:eastAsia="zh-CN"/>
        </w:rPr>
        <w:t>，</w:t>
      </w:r>
      <w:r>
        <w:rPr>
          <w:rFonts w:hint="default" w:ascii="Times New Roman" w:hAnsi="Times New Roman" w:eastAsia="仿宋_GB2312" w:cs="Times New Roman"/>
          <w:spacing w:val="0"/>
          <w:sz w:val="32"/>
          <w:szCs w:val="32"/>
          <w:lang w:val="en-US" w:eastAsia="zh-CN"/>
        </w:rPr>
        <w:t>决定</w:t>
      </w:r>
      <w:r>
        <w:rPr>
          <w:rFonts w:hint="eastAsia" w:ascii="Times New Roman" w:hAnsi="Times New Roman" w:eastAsia="仿宋_GB2312" w:cs="Times New Roman"/>
          <w:spacing w:val="0"/>
          <w:sz w:val="32"/>
          <w:szCs w:val="32"/>
          <w:lang w:val="en-US" w:eastAsia="zh-CN"/>
        </w:rPr>
        <w:t>：</w:t>
      </w:r>
    </w:p>
    <w:p w14:paraId="2C95085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驳回申请人的行政复议请求。</w:t>
      </w:r>
    </w:p>
    <w:p w14:paraId="28CC837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申请人如不服本决定，可自收到本决定之日起15日内向</w:t>
      </w:r>
      <w:r>
        <w:rPr>
          <w:rFonts w:hint="eastAsia" w:ascii="Times New Roman" w:hAnsi="Times New Roman" w:eastAsia="仿宋_GB2312" w:cs="Times New Roman"/>
          <w:spacing w:val="0"/>
          <w:sz w:val="32"/>
          <w:szCs w:val="32"/>
          <w:lang w:val="en-US" w:eastAsia="zh-CN"/>
        </w:rPr>
        <w:t>洛阳市老城区</w:t>
      </w:r>
      <w:r>
        <w:rPr>
          <w:rFonts w:hint="default" w:ascii="Times New Roman" w:hAnsi="Times New Roman" w:eastAsia="仿宋_GB2312" w:cs="Times New Roman"/>
          <w:spacing w:val="0"/>
          <w:sz w:val="32"/>
          <w:szCs w:val="32"/>
        </w:rPr>
        <w:t>人民法院起诉</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 xml:space="preserve">  </w:t>
      </w:r>
    </w:p>
    <w:p w14:paraId="3CC2E9A1">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pacing w:val="0"/>
          <w:sz w:val="32"/>
          <w:szCs w:val="32"/>
          <w:lang w:val="en-US" w:eastAsia="zh-CN"/>
        </w:rPr>
      </w:pPr>
    </w:p>
    <w:p w14:paraId="3B915923">
      <w:pPr>
        <w:keepNext w:val="0"/>
        <w:keepLines w:val="0"/>
        <w:pageBreakBefore w:val="0"/>
        <w:widowControl w:val="0"/>
        <w:kinsoku/>
        <w:wordWrap/>
        <w:overflowPunct/>
        <w:topLinePunct w:val="0"/>
        <w:autoSpaceDE/>
        <w:autoSpaceDN/>
        <w:bidi w:val="0"/>
        <w:adjustRightInd/>
        <w:snapToGrid/>
        <w:spacing w:line="600" w:lineRule="exact"/>
        <w:ind w:firstLine="4800" w:firstLineChars="1500"/>
        <w:textAlignment w:val="auto"/>
        <w:rPr>
          <w:rFonts w:hint="default" w:ascii="Times New Roman" w:hAnsi="Times New Roman" w:eastAsia="仿宋_GB2312" w:cs="Times New Roman"/>
          <w:spacing w:val="0"/>
          <w:sz w:val="32"/>
          <w:szCs w:val="32"/>
        </w:rPr>
      </w:pPr>
    </w:p>
    <w:p w14:paraId="42A916BE">
      <w:pPr>
        <w:keepNext w:val="0"/>
        <w:keepLines w:val="0"/>
        <w:pageBreakBefore w:val="0"/>
        <w:widowControl w:val="0"/>
        <w:kinsoku/>
        <w:wordWrap/>
        <w:overflowPunct/>
        <w:topLinePunct w:val="0"/>
        <w:autoSpaceDE/>
        <w:autoSpaceDN/>
        <w:bidi w:val="0"/>
        <w:adjustRightInd/>
        <w:snapToGrid/>
        <w:spacing w:line="600" w:lineRule="exact"/>
        <w:ind w:firstLine="602"/>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 xml:space="preserve">                        </w:t>
      </w:r>
    </w:p>
    <w:p w14:paraId="78B9AEFB">
      <w:pPr>
        <w:keepNext w:val="0"/>
        <w:keepLines w:val="0"/>
        <w:pageBreakBefore w:val="0"/>
        <w:widowControl w:val="0"/>
        <w:kinsoku/>
        <w:wordWrap/>
        <w:overflowPunct/>
        <w:topLinePunct w:val="0"/>
        <w:autoSpaceDE/>
        <w:autoSpaceDN/>
        <w:bidi w:val="0"/>
        <w:adjustRightInd/>
        <w:snapToGrid/>
        <w:spacing w:line="600" w:lineRule="exact"/>
        <w:ind w:firstLine="3840" w:firstLineChars="1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 xml:space="preserve">     </w:t>
      </w:r>
      <w:r>
        <w:rPr>
          <w:rFonts w:hint="eastAsia"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20</w:t>
      </w:r>
      <w:r>
        <w:rPr>
          <w:rFonts w:hint="default" w:ascii="Times New Roman" w:hAnsi="Times New Roman" w:eastAsia="仿宋_GB2312" w:cs="Times New Roman"/>
          <w:spacing w:val="0"/>
          <w:sz w:val="32"/>
          <w:szCs w:val="32"/>
          <w:lang w:val="en-US" w:eastAsia="zh-CN"/>
        </w:rPr>
        <w:t>2</w:t>
      </w:r>
      <w:r>
        <w:rPr>
          <w:rFonts w:hint="eastAsia" w:ascii="Times New Roman" w:hAnsi="Times New Roman" w:eastAsia="仿宋_GB2312" w:cs="Times New Roman"/>
          <w:spacing w:val="0"/>
          <w:sz w:val="32"/>
          <w:szCs w:val="32"/>
          <w:lang w:val="en-US" w:eastAsia="zh-CN"/>
        </w:rPr>
        <w:t>4</w:t>
      </w:r>
      <w:r>
        <w:rPr>
          <w:rFonts w:hint="default" w:ascii="Times New Roman" w:hAnsi="Times New Roman" w:eastAsia="仿宋_GB2312" w:cs="Times New Roman"/>
          <w:spacing w:val="0"/>
          <w:sz w:val="32"/>
          <w:szCs w:val="32"/>
        </w:rPr>
        <w:t>年</w:t>
      </w:r>
      <w:r>
        <w:rPr>
          <w:rFonts w:hint="eastAsia" w:ascii="Times New Roman" w:hAnsi="Times New Roman" w:eastAsia="仿宋_GB2312" w:cs="Times New Roman"/>
          <w:spacing w:val="0"/>
          <w:sz w:val="32"/>
          <w:szCs w:val="32"/>
          <w:lang w:val="en-US" w:eastAsia="zh-CN"/>
        </w:rPr>
        <w:t>2</w:t>
      </w:r>
      <w:r>
        <w:rPr>
          <w:rFonts w:hint="default" w:ascii="Times New Roman" w:hAnsi="Times New Roman" w:eastAsia="仿宋_GB2312" w:cs="Times New Roman"/>
          <w:spacing w:val="0"/>
          <w:sz w:val="32"/>
          <w:szCs w:val="32"/>
        </w:rPr>
        <w:t>月</w:t>
      </w:r>
      <w:r>
        <w:rPr>
          <w:rFonts w:hint="eastAsia" w:ascii="Times New Roman" w:hAnsi="Times New Roman" w:eastAsia="仿宋_GB2312" w:cs="Times New Roman"/>
          <w:spacing w:val="0"/>
          <w:sz w:val="32"/>
          <w:szCs w:val="32"/>
          <w:lang w:val="en-US" w:eastAsia="zh-CN"/>
        </w:rPr>
        <w:t>5</w:t>
      </w:r>
      <w:r>
        <w:rPr>
          <w:rFonts w:hint="default" w:ascii="Times New Roman" w:hAnsi="Times New Roman" w:eastAsia="仿宋_GB2312" w:cs="Times New Roman"/>
          <w:spacing w:val="0"/>
          <w:sz w:val="32"/>
          <w:szCs w:val="32"/>
        </w:rPr>
        <w:t>日</w:t>
      </w:r>
    </w:p>
    <w:p w14:paraId="6377E5BD">
      <w:pPr>
        <w:keepNext w:val="0"/>
        <w:keepLines w:val="0"/>
        <w:pageBreakBefore w:val="0"/>
        <w:widowControl w:val="0"/>
        <w:kinsoku/>
        <w:wordWrap/>
        <w:overflowPunct/>
        <w:topLinePunct w:val="0"/>
        <w:autoSpaceDE/>
        <w:autoSpaceDN/>
        <w:bidi w:val="0"/>
        <w:spacing w:line="600" w:lineRule="exact"/>
        <w:textAlignment w:val="auto"/>
      </w:pPr>
    </w:p>
    <w:sectPr>
      <w:footerReference r:id="rId3" w:type="default"/>
      <w:pgSz w:w="11906" w:h="16838"/>
      <w:pgMar w:top="1587" w:right="1474" w:bottom="1587"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9C0F1">
    <w:pPr>
      <w:pStyle w:val="2"/>
      <w:tabs>
        <w:tab w:val="center" w:pos="4479"/>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7581CE">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B7581CE">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zZTgwN2YzMGQ0NWU1NmE4ZTNmZDcwNmFjZmE0MTcifQ=="/>
  </w:docVars>
  <w:rsids>
    <w:rsidRoot w:val="00000000"/>
    <w:rsid w:val="00305CE7"/>
    <w:rsid w:val="007B7E80"/>
    <w:rsid w:val="00A010BF"/>
    <w:rsid w:val="0213766F"/>
    <w:rsid w:val="036A7DCC"/>
    <w:rsid w:val="06935222"/>
    <w:rsid w:val="09E02FD4"/>
    <w:rsid w:val="0D811713"/>
    <w:rsid w:val="0EEE56EB"/>
    <w:rsid w:val="0FF039EF"/>
    <w:rsid w:val="1400683E"/>
    <w:rsid w:val="196565AA"/>
    <w:rsid w:val="1A6C3968"/>
    <w:rsid w:val="1DEC54EC"/>
    <w:rsid w:val="1E4470D6"/>
    <w:rsid w:val="29C25353"/>
    <w:rsid w:val="29D73871"/>
    <w:rsid w:val="2FE83639"/>
    <w:rsid w:val="398919E9"/>
    <w:rsid w:val="39A22AAB"/>
    <w:rsid w:val="3C1557B6"/>
    <w:rsid w:val="3E3C1720"/>
    <w:rsid w:val="45392515"/>
    <w:rsid w:val="474D647F"/>
    <w:rsid w:val="4B2C6678"/>
    <w:rsid w:val="4C8C5620"/>
    <w:rsid w:val="4D92310A"/>
    <w:rsid w:val="4E6F6FA8"/>
    <w:rsid w:val="5CD03307"/>
    <w:rsid w:val="5F185E1F"/>
    <w:rsid w:val="6CEF1588"/>
    <w:rsid w:val="6D45389E"/>
    <w:rsid w:val="70AA6474"/>
    <w:rsid w:val="7FF05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2339</Words>
  <Characters>2522</Characters>
  <Lines>0</Lines>
  <Paragraphs>0</Paragraphs>
  <TotalTime>28</TotalTime>
  <ScaleCrop>false</ScaleCrop>
  <LinksUpToDate>false</LinksUpToDate>
  <CharactersWithSpaces>2568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法制</dc:creator>
  <cp:lastModifiedBy>Alasely娜</cp:lastModifiedBy>
  <dcterms:modified xsi:type="dcterms:W3CDTF">2024-11-06T07:30:23Z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05DBBFEFC8144D0BA4F44BC3B55066F5_12</vt:lpwstr>
  </property>
</Properties>
</file>