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方正小标宋简体" w:cs="Times New Roman"/>
          <w:color w:val="auto"/>
          <w:kern w:val="0"/>
          <w:sz w:val="43"/>
          <w:szCs w:val="43"/>
          <w:lang w:val="en-US" w:eastAsia="zh-CN" w:bidi="ar"/>
        </w:rPr>
      </w:pPr>
    </w:p>
    <w:p>
      <w:pPr>
        <w:keepNext w:val="0"/>
        <w:keepLines w:val="0"/>
        <w:widowControl/>
        <w:suppressLineNumbers w:val="0"/>
        <w:jc w:val="center"/>
        <w:rPr>
          <w:rFonts w:hint="default" w:ascii="Times New Roman" w:hAnsi="Times New Roman" w:eastAsia="方正小标宋简体" w:cs="Times New Roman"/>
          <w:color w:val="auto"/>
          <w:kern w:val="0"/>
          <w:sz w:val="43"/>
          <w:szCs w:val="43"/>
          <w:lang w:val="en-US" w:eastAsia="zh-CN" w:bidi="ar"/>
        </w:rPr>
      </w:pPr>
    </w:p>
    <w:p>
      <w:pPr>
        <w:keepNext w:val="0"/>
        <w:keepLines w:val="0"/>
        <w:widowControl/>
        <w:suppressLineNumbers w:val="0"/>
        <w:jc w:val="center"/>
        <w:rPr>
          <w:rFonts w:hint="default" w:ascii="Times New Roman" w:hAnsi="Times New Roman" w:cs="Times New Roman"/>
          <w:color w:val="auto"/>
        </w:rPr>
      </w:pPr>
      <w:r>
        <w:rPr>
          <w:rFonts w:hint="default" w:ascii="Times New Roman" w:hAnsi="Times New Roman" w:eastAsia="方正小标宋简体" w:cs="Times New Roman"/>
          <w:color w:val="auto"/>
          <w:kern w:val="0"/>
          <w:sz w:val="43"/>
          <w:szCs w:val="43"/>
          <w:lang w:val="en-US" w:eastAsia="zh-CN" w:bidi="ar"/>
        </w:rPr>
        <w:t>嵩县国民经济和社会发展第十四个五年</w:t>
      </w:r>
    </w:p>
    <w:p>
      <w:pPr>
        <w:keepNext w:val="0"/>
        <w:keepLines w:val="0"/>
        <w:widowControl/>
        <w:suppressLineNumbers w:val="0"/>
        <w:jc w:val="center"/>
        <w:rPr>
          <w:rFonts w:hint="default" w:ascii="Times New Roman" w:hAnsi="Times New Roman" w:cs="Times New Roman"/>
          <w:color w:val="auto"/>
        </w:rPr>
      </w:pPr>
      <w:r>
        <w:rPr>
          <w:rFonts w:hint="default" w:ascii="Times New Roman" w:hAnsi="Times New Roman" w:eastAsia="方正小标宋简体" w:cs="Times New Roman"/>
          <w:color w:val="auto"/>
          <w:kern w:val="0"/>
          <w:sz w:val="43"/>
          <w:szCs w:val="43"/>
          <w:lang w:val="en-US" w:eastAsia="zh-CN" w:bidi="ar"/>
        </w:rPr>
        <w:t>规划和二○三五年远景目标纲要</w:t>
      </w: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left"/>
        <w:rPr>
          <w:rFonts w:hint="default" w:ascii="Times New Roman" w:hAnsi="Times New Roman" w:eastAsia="宋体" w:cs="Times New Roman"/>
          <w:b/>
          <w:color w:val="auto"/>
          <w:kern w:val="0"/>
          <w:sz w:val="36"/>
          <w:szCs w:val="36"/>
          <w:lang w:val="en-US" w:eastAsia="zh-CN" w:bidi="ar"/>
        </w:rPr>
      </w:pPr>
    </w:p>
    <w:p>
      <w:pPr>
        <w:keepNext w:val="0"/>
        <w:keepLines w:val="0"/>
        <w:widowControl/>
        <w:suppressLineNumbers w:val="0"/>
        <w:jc w:val="center"/>
        <w:rPr>
          <w:rFonts w:hint="default" w:ascii="Times New Roman" w:hAnsi="Times New Roman" w:eastAsia="楷体_GB2312" w:cs="Times New Roman"/>
          <w:b/>
          <w:color w:val="auto"/>
          <w:kern w:val="0"/>
          <w:sz w:val="36"/>
          <w:szCs w:val="36"/>
          <w:lang w:val="en-US" w:eastAsia="zh-CN" w:bidi="ar"/>
        </w:rPr>
      </w:pPr>
      <w:r>
        <w:rPr>
          <w:rFonts w:hint="default" w:ascii="Times New Roman" w:hAnsi="Times New Roman" w:eastAsia="宋体" w:cs="Times New Roman"/>
          <w:b/>
          <w:color w:val="auto"/>
          <w:kern w:val="0"/>
          <w:sz w:val="36"/>
          <w:szCs w:val="36"/>
          <w:lang w:val="en-US" w:eastAsia="zh-CN" w:bidi="ar"/>
        </w:rPr>
        <w:t xml:space="preserve">2021 </w:t>
      </w:r>
      <w:r>
        <w:rPr>
          <w:rFonts w:hint="default" w:ascii="Times New Roman" w:hAnsi="Times New Roman" w:eastAsia="楷体_GB2312" w:cs="Times New Roman"/>
          <w:b/>
          <w:color w:val="auto"/>
          <w:kern w:val="0"/>
          <w:sz w:val="36"/>
          <w:szCs w:val="36"/>
          <w:lang w:val="en-US" w:eastAsia="zh-CN" w:bidi="ar"/>
        </w:rPr>
        <w:t>年</w:t>
      </w:r>
      <w:r>
        <w:rPr>
          <w:rFonts w:hint="default" w:ascii="Times New Roman" w:hAnsi="Times New Roman" w:eastAsia="楷体_GB2312" w:cs="Times New Roman"/>
          <w:b/>
          <w:color w:val="auto"/>
          <w:kern w:val="0"/>
          <w:sz w:val="36"/>
          <w:szCs w:val="36"/>
          <w:lang w:val="en-US" w:eastAsia="zh-CN" w:bidi="ar"/>
        </w:rPr>
        <w:t>7月</w:t>
      </w:r>
    </w:p>
    <w:p>
      <w:pPr>
        <w:keepNext w:val="0"/>
        <w:keepLines w:val="0"/>
        <w:widowControl/>
        <w:suppressLineNumbers w:val="0"/>
        <w:jc w:val="left"/>
        <w:rPr>
          <w:rFonts w:hint="default" w:ascii="Times New Roman" w:hAnsi="Times New Roman" w:eastAsia="方正小标宋简体" w:cs="Times New Roman"/>
          <w:color w:val="auto"/>
          <w:kern w:val="0"/>
          <w:sz w:val="43"/>
          <w:szCs w:val="43"/>
          <w:lang w:val="en-US" w:eastAsia="zh-CN" w:bidi="ar"/>
        </w:rPr>
      </w:pPr>
    </w:p>
    <w:p>
      <w:pPr>
        <w:keepNext w:val="0"/>
        <w:keepLines w:val="0"/>
        <w:widowControl/>
        <w:suppressLineNumbers w:val="0"/>
        <w:jc w:val="center"/>
        <w:rPr>
          <w:rFonts w:hint="default" w:ascii="Times New Roman" w:hAnsi="Times New Roman" w:eastAsia="方正小标宋简体" w:cs="Times New Roman"/>
          <w:color w:val="auto"/>
          <w:kern w:val="0"/>
          <w:sz w:val="43"/>
          <w:szCs w:val="43"/>
          <w:lang w:val="en-US" w:eastAsia="zh-CN" w:bidi="ar"/>
        </w:rPr>
        <w:sectPr>
          <w:footerReference r:id="rId3" w:type="default"/>
          <w:footerReference r:id="rId4" w:type="even"/>
          <w:pgSz w:w="11906" w:h="16838"/>
          <w:pgMar w:top="1984" w:right="1531" w:bottom="1701" w:left="1531" w:header="851" w:footer="992" w:gutter="0"/>
          <w:cols w:space="425" w:num="1"/>
          <w:docGrid w:type="lines" w:linePitch="312" w:charSpace="0"/>
        </w:sectPr>
      </w:pPr>
    </w:p>
    <w:p>
      <w:pPr>
        <w:keepNext w:val="0"/>
        <w:keepLines w:val="0"/>
        <w:widowControl/>
        <w:suppressLineNumbers w:val="0"/>
        <w:jc w:val="center"/>
        <w:rPr>
          <w:rFonts w:hint="default" w:ascii="Times New Roman" w:hAnsi="Times New Roman" w:cs="Times New Roman"/>
          <w:color w:val="auto"/>
        </w:rPr>
      </w:pPr>
      <w:r>
        <w:rPr>
          <w:rFonts w:hint="default" w:ascii="Times New Roman" w:hAnsi="Times New Roman" w:eastAsia="方正小标宋简体" w:cs="Times New Roman"/>
          <w:color w:val="auto"/>
          <w:kern w:val="0"/>
          <w:sz w:val="43"/>
          <w:szCs w:val="43"/>
          <w:lang w:val="en-US" w:eastAsia="zh-CN" w:bidi="ar"/>
        </w:rPr>
        <w:t>前 言</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“十四五”时期（</w:t>
      </w:r>
      <w:r>
        <w:rPr>
          <w:rFonts w:hint="default" w:ascii="Times New Roman" w:hAnsi="Times New Roman" w:eastAsia="宋体" w:cs="Times New Roman"/>
          <w:color w:val="auto"/>
          <w:kern w:val="0"/>
          <w:sz w:val="32"/>
          <w:szCs w:val="32"/>
          <w:lang w:val="en-US" w:eastAsia="zh-CN" w:bidi="ar"/>
        </w:rPr>
        <w:t xml:space="preserve">2021—2025 </w:t>
      </w:r>
      <w:r>
        <w:rPr>
          <w:rFonts w:hint="default" w:ascii="Times New Roman" w:hAnsi="Times New Roman" w:eastAsia="仿宋_GB2312" w:cs="Times New Roman"/>
          <w:color w:val="auto"/>
          <w:kern w:val="0"/>
          <w:sz w:val="32"/>
          <w:szCs w:val="32"/>
          <w:lang w:val="en-US" w:eastAsia="zh-CN" w:bidi="ar"/>
        </w:rPr>
        <w:t>年），是我国全面建成小康社会、实现第一个百年奋斗目标之后，乘势而上开启全面建设社会主义现代化国家新征程的开局起步期，是河南省全面建设现代化河南的关键时期，是洛阳市全面提高经济质量效益和核心竞争力的历史窗口期，是嵩县推动高质量发展和构建新发展格局的战略机遇期。科学编制、实施好“十四五”规划，描绘嵩县发展蓝图，巩固全面建设小康社会成果，加快社会主义现代化建设，在中原更加出彩中走在前列，奋力谱写嵩县更加出彩绚丽篇章，具有重大现实意义和深远历史意义。</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《嵩县国民经济和社会发展第十四个五年规划和二</w:t>
      </w:r>
      <w:r>
        <w:rPr>
          <w:rFonts w:hint="default" w:ascii="Times New Roman" w:hAnsi="Times New Roman" w:eastAsia="宋体" w:cs="Times New Roman"/>
          <w:color w:val="auto"/>
          <w:kern w:val="0"/>
          <w:sz w:val="32"/>
          <w:szCs w:val="32"/>
          <w:lang w:val="en-US" w:eastAsia="zh-CN" w:bidi="ar"/>
        </w:rPr>
        <w:t>〇</w:t>
      </w:r>
      <w:r>
        <w:rPr>
          <w:rFonts w:hint="default" w:ascii="Times New Roman" w:hAnsi="Times New Roman" w:eastAsia="仿宋_GB2312" w:cs="Times New Roman"/>
          <w:color w:val="auto"/>
          <w:kern w:val="0"/>
          <w:sz w:val="32"/>
          <w:szCs w:val="32"/>
          <w:lang w:val="en-US" w:eastAsia="zh-CN" w:bidi="ar"/>
        </w:rPr>
        <w:t>三五年远景目标纲要》根据《中共嵩县县委关于制定国民经济和社会发展第十四个五年规划和二</w:t>
      </w:r>
      <w:r>
        <w:rPr>
          <w:rFonts w:hint="default" w:ascii="Times New Roman" w:hAnsi="Times New Roman" w:eastAsia="宋体" w:cs="Times New Roman"/>
          <w:color w:val="auto"/>
          <w:kern w:val="0"/>
          <w:sz w:val="32"/>
          <w:szCs w:val="32"/>
          <w:lang w:val="en-US" w:eastAsia="zh-CN" w:bidi="ar"/>
        </w:rPr>
        <w:t>〇</w:t>
      </w:r>
      <w:r>
        <w:rPr>
          <w:rFonts w:hint="default" w:ascii="Times New Roman" w:hAnsi="Times New Roman" w:eastAsia="仿宋_GB2312" w:cs="Times New Roman"/>
          <w:color w:val="auto"/>
          <w:kern w:val="0"/>
          <w:sz w:val="32"/>
          <w:szCs w:val="32"/>
          <w:lang w:val="en-US" w:eastAsia="zh-CN" w:bidi="ar"/>
        </w:rPr>
        <w:t>三五年远景目标的建议》精神编制。本纲要是“十四五”时期嵩县经济社会发展的战略性、纲领性、综合性规划，是指导嵩县未来五年发展的宏伟蓝图，是激发全县人民共同奋斗的行动纲领。</w:t>
      </w:r>
    </w:p>
    <w:p>
      <w:pPr>
        <w:keepNext w:val="0"/>
        <w:keepLines w:val="0"/>
        <w:widowControl/>
        <w:suppressLineNumbers w:val="0"/>
        <w:jc w:val="left"/>
        <w:rPr>
          <w:rFonts w:hint="default" w:ascii="Times New Roman" w:hAnsi="Times New Roman" w:eastAsia="方正小标宋简体" w:cs="Times New Roman"/>
          <w:color w:val="auto"/>
          <w:kern w:val="0"/>
          <w:sz w:val="43"/>
          <w:szCs w:val="43"/>
          <w:lang w:val="en-US" w:eastAsia="zh-CN" w:bidi="ar"/>
        </w:rPr>
      </w:pPr>
    </w:p>
    <w:p>
      <w:pPr>
        <w:keepNext w:val="0"/>
        <w:keepLines w:val="0"/>
        <w:widowControl/>
        <w:suppressLineNumbers w:val="0"/>
        <w:jc w:val="left"/>
        <w:rPr>
          <w:rFonts w:hint="default" w:ascii="Times New Roman" w:hAnsi="Times New Roman" w:eastAsia="方正小标宋简体" w:cs="Times New Roman"/>
          <w:color w:val="auto"/>
          <w:kern w:val="0"/>
          <w:sz w:val="43"/>
          <w:szCs w:val="43"/>
          <w:lang w:val="en-US" w:eastAsia="zh-CN" w:bidi="ar"/>
        </w:rPr>
      </w:pPr>
    </w:p>
    <w:p>
      <w:pPr>
        <w:keepNext w:val="0"/>
        <w:keepLines w:val="0"/>
        <w:widowControl/>
        <w:suppressLineNumbers w:val="0"/>
        <w:jc w:val="left"/>
        <w:rPr>
          <w:rFonts w:hint="default" w:ascii="Times New Roman" w:hAnsi="Times New Roman" w:eastAsia="方正小标宋简体" w:cs="Times New Roman"/>
          <w:color w:val="auto"/>
          <w:kern w:val="0"/>
          <w:sz w:val="43"/>
          <w:szCs w:val="43"/>
          <w:lang w:val="en-US" w:eastAsia="zh-CN" w:bidi="ar"/>
        </w:rPr>
      </w:pPr>
    </w:p>
    <w:p>
      <w:pPr>
        <w:keepNext w:val="0"/>
        <w:keepLines w:val="0"/>
        <w:widowControl/>
        <w:suppressLineNumbers w:val="0"/>
        <w:jc w:val="center"/>
        <w:rPr>
          <w:rFonts w:hint="default" w:ascii="Times New Roman" w:hAnsi="Times New Roman" w:eastAsia="黑体" w:cs="Times New Roman"/>
          <w:b/>
          <w:color w:val="auto"/>
          <w:kern w:val="0"/>
          <w:sz w:val="36"/>
          <w:szCs w:val="36"/>
          <w:lang w:val="en-US" w:eastAsia="zh-CN" w:bidi="ar"/>
        </w:rPr>
        <w:sectPr>
          <w:footerReference r:id="rId5" w:type="default"/>
          <w:footerReference r:id="rId6" w:type="even"/>
          <w:pgSz w:w="11906" w:h="16838"/>
          <w:pgMar w:top="1984" w:right="1531" w:bottom="1701" w:left="1531" w:header="851" w:footer="992" w:gutter="0"/>
          <w:pgNumType w:start="1"/>
          <w:cols w:space="425" w:num="1"/>
          <w:docGrid w:type="lines" w:linePitch="312" w:charSpace="0"/>
        </w:sectPr>
      </w:pPr>
    </w:p>
    <w:sdt>
      <w:sdtPr>
        <w:rPr>
          <w:rFonts w:hint="default" w:ascii="Times New Roman" w:hAnsi="Times New Roman" w:eastAsia="宋体" w:cs="Times New Roman"/>
          <w:color w:val="auto"/>
          <w:kern w:val="2"/>
          <w:sz w:val="21"/>
          <w:szCs w:val="24"/>
          <w:lang w:val="en-US" w:eastAsia="zh-CN" w:bidi="ar-SA"/>
        </w:rPr>
        <w:id w:val="147479829"/>
        <w15:color w:val="DBDBDB"/>
        <w:docPartObj>
          <w:docPartGallery w:val="Table of Contents"/>
          <w:docPartUnique/>
        </w:docPartObj>
      </w:sdtPr>
      <w:sdtEndPr>
        <w:rPr>
          <w:rFonts w:hint="default" w:ascii="Times New Roman" w:hAnsi="Times New Roman"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录</w:t>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TOC \o "1-3" \h \u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_Toc27417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第一篇 全面建成小康社会，开启现代化建设新征程</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_Toc27417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_Toc8068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发展基础和环境</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_Toc8068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_Toc31998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决胜全面建成小康社会取得决定性成就</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_Toc31998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_Toc8917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新发展阶段面临的新机遇新挑战</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_Toc8917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_Toc11055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未来五年发展蓝图和2035年远景目标</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_Toc11055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_Toc18033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指导思想</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_Toc18033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_Toc12778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发展定位</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_Toc12778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_Toc26934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总体思路</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_Toc26934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_Toc475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第四节 基本原则</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_Toc475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_Toc14655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第五节 “十四五”时期发展目标</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_Toc14655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_Toc6225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第六节 到二〇三五年基本建成社会主义现代化嵩县远景目标</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_Toc6225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_Toc4048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第二篇 强化创新驱动能力，培育经济高质量发展新动能</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_Toc4048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_Toc15844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培育发展科技创新平台</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_Toc15844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_Toc1886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搭建创新创业平台</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_Toc1886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_Toc22000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争取重大科创平台布局嵩县</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_Toc22000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_Toc4845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建立产业技术联合研发机构</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_Toc4845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_Toc9418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第四节 全面提升全民科学素质</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_Toc9418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优化创新创业生态</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_Toc23265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优化政府科技服务职能</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_Toc23265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_Toc4520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营造创新创业氛围</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_Toc4520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_Toc12332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第三章 提升企业创新能力</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_Toc12332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_Toc16967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提升企业创新主体地位</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_Toc16967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_Toc24686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促进科技成果转移转化</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_Toc24686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_Toc28743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第四章 实施人才强县战略</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_Toc28743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_Toc2756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全面深化推进“嵩州英才计划”</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_Toc2756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_Toc614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创新灵活多样的人才引进模式</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_Toc5794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激发人才创新活力</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_Toc5794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_Toc14131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第三篇 加快产业提质升级，构建现代化产业新体系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_Toc14131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_Toc4515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大力发展全域旅游</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_Toc4515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_Toc4634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高起点发展全域旅游</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_Toc4634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_Toc21714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培育五大旅游业态</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_Toc21714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_Toc9729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优化提升旅游基础设施服务设施</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_Toc9729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_Toc30048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推进制造业高质量发展</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_Toc30048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_Toc20914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优化工业布局</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_Toc20914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_Toc25566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bCs w:val="0"/>
              <w:color w:val="auto"/>
              <w:kern w:val="0"/>
              <w:sz w:val="28"/>
              <w:szCs w:val="28"/>
              <w:lang w:val="en-US" w:eastAsia="zh-CN" w:bidi="ar"/>
            </w:rPr>
            <w:t>第二节 推进产业集聚区“二次创业”</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_Toc25566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_Toc25762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全力培育新技术新产业新业态新模式</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_Toc25762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_Toc30324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第四节 推进传统产业绿色化智能化改造</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_Toc30324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_Toc5840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第五节 推进产业链现代化</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_Toc5840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_Toc15795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第六节 实施制造业基础再造工程</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_Toc15795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_Toc21721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第七节 加快发展生产性服务业</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_Toc21721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_Toc16613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第三章 发展现代服务业</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_Toc16613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_Toc10615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做优做强现代服务业载体平台</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_Toc10615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_Toc26132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加快优势服务业转型升级</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_Toc26132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_Toc6130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培育发展新产业新业态</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_Toc6130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_Toc11042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第四篇 扩大内需投资消费，构建现代市场流通新体系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_Toc11042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_Toc5988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第五篇 深化改革扩大开放，激发内外发展新活力</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_Toc5988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_Toc16539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改善提升营商环境</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_Toc16539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_Toc7346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营造高效便捷的政务环境</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_Toc7346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_Toc23598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营造公平公正的法治环境</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_Toc23598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_Toc20898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营造诚信守信的信用环境</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_Toc20898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_Toc2042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保障市场公平竞争</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_Toc2042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_Toc18826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持续放宽市场准入</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_Toc18826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_Toc7425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完善公平竞争制度</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_Toc7425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_Toc18521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优化要素资源配置</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_Toc18521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_Toc19079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第三章 全面提升开放水平</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_Toc19079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_Toc5903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着力推进开放招商</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_Toc5903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_Toc22828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持续扩大对外开放交流</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_Toc22828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_Toc30951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第六篇 实施乡村振兴战略，推动“三农”工作迈上新台阶</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_Toc30951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_Toc4088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第七篇 推进新型城镇化，构筑城乡融合发展新格局</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_Toc4088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_Toc11951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优化城乡发展格局</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_Toc11951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_Toc4795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优化城乡空间发展结构</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_Toc4795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_Toc8753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建设美丽县城</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_Toc8753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_Toc3178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建设美丽城镇</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_Toc3178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_Toc24988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第四节 建设美丽乡村</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_Toc24988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_Toc19807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第五节 建设城乡融合发展示范区</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_Toc19807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_Toc4923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推进以人为核心的新型城镇化</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_Toc4923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_Toc1193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实现农民带资产进城</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_Toc1193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保障常住人口基本公共服务</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_Toc13517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pacing w:val="-11"/>
              <w:kern w:val="0"/>
              <w:sz w:val="28"/>
              <w:szCs w:val="28"/>
              <w:lang w:val="en-US" w:eastAsia="zh-CN" w:bidi="ar"/>
            </w:rPr>
            <w:t>第八篇 完善提升基础设施，构建互联畅通的现代基础体系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_Toc13517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_Toc18423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构建便捷畅通的交通路网</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_Toc18423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_Toc18347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加强高速和国道建设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_Toc18347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_Toc14502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完善县、乡、村、组公路建设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_Toc14502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_Toc609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完善水利基础设施</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_Toc609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_Toc18523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高效利用水资源</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_Toc18523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_Toc24925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科学防洪水减灾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_Toc24925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_Toc6196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第三章 扩大清洁能源利用</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_Toc6196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_Toc26119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第四章 加快新一代信息基础设施建设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_Toc26119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_Toc32182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推动5G网络建设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_Toc32182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_Toc27299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推动融合基础设施建设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_Toc27299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_Toc8606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第九篇 坚定文化自信，绘就文化建设新篇章</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_Toc8606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_Toc30299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加强社会主义精神文明建设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_Toc30299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_Toc29252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推进理想信念教育常态化制度化</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_Toc29252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_Toc6809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壮大主流思想舆论</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_Toc6809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_Toc28185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提升公共文化服务水平</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_Toc28185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_Toc27663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完善公共文化服务体系建设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_Toc27663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_Toc12032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加快公共文化人才培养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_Toc12032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_Toc32032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推进公共文化服务数字化建设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_Toc32032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_Toc9626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第十篇 坚持绿色发展，打造地绿水美天蓝新家园</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_Toc9626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_Toc11405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构建生态安全格局</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_Toc11405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_Toc11193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优化国土空间格局</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_Toc11193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_Toc29334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严格生态控制红线</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_Toc29334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_Toc3985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加快生态修复整治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_Toc3985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_Toc26590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加快国土资源治理修复</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_Toc26590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_Toc1384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推进污染综合治理</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_Toc1384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_Toc23780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第三章 提高绿色发展水平</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_Toc23780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_Toc7124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持续降低碳排放强度</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_Toc7124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_Toc19915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加快生产生活方式绿色转型</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_Toc19915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_Toc28353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第四章 创建国家森林城市</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_Toc28353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_Toc7614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持续推进城郊森林公园建设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_Toc7614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_Toc30681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加快环湖生态产业带建设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_Toc30681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_Toc7746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第十一篇 完善公共服务，提升人民群众幸福感获得感</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_Toc7746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_Toc3848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提升基本公共服务能力</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_Toc3848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_Toc18982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推进更高质量充分就业</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_Toc18982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_Toc1065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建设健康嵩县</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_Toc1065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_Toc6395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推进教育标准化优质化建设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_Toc6395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_Toc17190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第四节 实施人口均衡发展战略</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_Toc17190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_Toc14130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第五节 推进体育强县建设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_Toc14130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_Toc15889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第六节 完善覆盖全民的社会保障体系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_Toc15889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_Toc4186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补强非基本公共服务弱项</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_Toc4186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_Toc29948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支持优质普惠学前教育资源扩容</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_Toc29948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_Toc17424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促进社会办医加快发展</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_Toc17424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_Toc29083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全面放开养老服务市场</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_Toc29083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_Toc9112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第十二篇 加强共建共治，构建平安社会新局面</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_Toc9112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_Toc31991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第一章 维护社会稳定</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_Toc31991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_Toc1351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推动社会治理服务重心下移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_Toc1351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_Toc18365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建设法治乡村</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_Toc18365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_Toc25630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第三节 完善社会矛盾纠纷预防化解机制</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_Toc25630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_Toc16869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第二章 打造立体化信息化社会治安防控体系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_Toc16869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_Toc13631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构建社会治安防控新格局</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_Toc13631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_Toc1231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完善“雪亮工程”</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_Toc1231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_Toc27185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第三章 筑牢安全发展底板</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_Toc27185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_Toc2823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第一节 建立安全防范体系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_Toc2823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0"/>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_Toc3588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第二节 深化应急管理体制改革</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_Toc3588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100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8"/>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_Toc7380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kern w:val="0"/>
              <w:sz w:val="28"/>
              <w:szCs w:val="28"/>
              <w:lang w:val="en-US" w:eastAsia="zh-CN" w:bidi="ar"/>
            </w:rPr>
            <w:t>第十三篇 实施保障</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_Toc7380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100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_Toc14439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bCs/>
              <w:color w:val="auto"/>
              <w:kern w:val="0"/>
              <w:sz w:val="28"/>
              <w:szCs w:val="28"/>
              <w:lang w:val="en-US" w:eastAsia="zh-CN" w:bidi="ar"/>
            </w:rPr>
            <w:t>第一章 加强党的领导</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_Toc14439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100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_Toc30352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bCs/>
              <w:color w:val="auto"/>
              <w:kern w:val="0"/>
              <w:sz w:val="28"/>
              <w:szCs w:val="28"/>
              <w:lang w:val="en-US" w:eastAsia="zh-CN" w:bidi="ar"/>
            </w:rPr>
            <w:t>第二章 健全规划体系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_Toc30352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101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_Toc12522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bCs/>
              <w:color w:val="auto"/>
              <w:kern w:val="0"/>
              <w:sz w:val="28"/>
              <w:szCs w:val="28"/>
              <w:lang w:val="en-US" w:eastAsia="zh-CN" w:bidi="ar"/>
            </w:rPr>
            <w:t>第三章 强化规划实施支撑</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_Toc12522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101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9"/>
            <w:keepNext w:val="0"/>
            <w:keepLines w:val="0"/>
            <w:pageBreakBefore w:val="0"/>
            <w:widowControl/>
            <w:tabs>
              <w:tab w:val="right" w:leader="dot" w:pos="8844"/>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HYPERLINK \l _Toc21867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bCs/>
              <w:color w:val="auto"/>
              <w:kern w:val="0"/>
              <w:sz w:val="28"/>
              <w:szCs w:val="28"/>
              <w:lang w:val="en-US" w:eastAsia="zh-CN" w:bidi="ar"/>
            </w:rPr>
            <w:t>第四章 动员全社会共同参与</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_Toc21867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102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8"/>
              <w:szCs w:val="28"/>
            </w:rPr>
            <w:fldChar w:fldCharType="end"/>
          </w:r>
        </w:p>
      </w:sdtContent>
    </w:sdt>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bookmarkStart w:id="0" w:name="_Toc27417"/>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sectPr>
          <w:footerReference r:id="rId7" w:type="default"/>
          <w:footerReference r:id="rId8" w:type="even"/>
          <w:pgSz w:w="11906" w:h="16838"/>
          <w:pgMar w:top="1984" w:right="1531" w:bottom="1701" w:left="1531" w:header="851" w:footer="992" w:gutter="0"/>
          <w:pgNumType w:start="1"/>
          <w:cols w:space="425" w:num="1"/>
          <w:docGrid w:type="lines" w:linePitch="312" w:charSpace="0"/>
        </w:sectPr>
      </w:pPr>
    </w:p>
    <w:p>
      <w:pPr>
        <w:keepNext w:val="0"/>
        <w:keepLines w:val="0"/>
        <w:widowControl/>
        <w:suppressLineNumbers w:val="0"/>
        <w:jc w:val="center"/>
        <w:outlineLvl w:val="0"/>
        <w:rPr>
          <w:rFonts w:hint="default" w:ascii="Times New Roman" w:hAnsi="Times New Roman" w:cs="Times New Roman"/>
          <w:color w:val="auto"/>
        </w:rPr>
      </w:pPr>
      <w:r>
        <w:rPr>
          <w:rFonts w:hint="default" w:ascii="Times New Roman" w:hAnsi="Times New Roman" w:eastAsia="黑体" w:cs="Times New Roman"/>
          <w:b/>
          <w:color w:val="auto"/>
          <w:kern w:val="0"/>
          <w:sz w:val="36"/>
          <w:szCs w:val="36"/>
          <w:lang w:val="en-US" w:eastAsia="zh-CN" w:bidi="ar"/>
        </w:rPr>
        <w:t xml:space="preserve">第一篇 </w:t>
      </w:r>
      <w:r>
        <w:rPr>
          <w:rFonts w:hint="default" w:ascii="Times New Roman" w:hAnsi="Times New Roman" w:eastAsia="黑体" w:cs="Times New Roman"/>
          <w:b/>
          <w:color w:val="auto"/>
          <w:kern w:val="0"/>
          <w:sz w:val="36"/>
          <w:szCs w:val="36"/>
          <w:lang w:val="en-US" w:eastAsia="zh-CN" w:bidi="ar"/>
        </w:rPr>
        <w:t>全面建成小康社会，开启现代化建设新征程</w:t>
      </w:r>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十四五”时期是我国全面建成小康社会、实现第一个百年奋斗目标之后，乘势而上开启全面建设社会主义现代化国家新征程、向第二个百年奋斗目标进军的第一个五年，是河南省建设现代化谱写新时代中原更加出彩绚丽篇章的关键期，是洛阳市全面提高经济质量效益和核心竞争力的历史窗口期、建设中原城市群副中心城市的快速成长期，是嵩县推动高质量发展和融入新发展格局的战略机遇期。以习近平新时代中国特色社会主义思想为指导，全面总结嵩县“十三五”工作成就和存在的问题，分析研判未来五年发展环境和支撑条件的深刻变化，把握发展趋势和阶段性特征，展望2035 年远景目标，对于巩固全面建成小康社会成果，推进嵩县迈向社会主义现代化新征程，具有重大的现实意义和深远的历史意义。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cs="Times New Roman"/>
          <w:color w:val="auto"/>
          <w:sz w:val="32"/>
          <w:szCs w:val="32"/>
        </w:rPr>
      </w:pPr>
      <w:bookmarkStart w:id="1" w:name="_Toc8068"/>
      <w:r>
        <w:rPr>
          <w:rFonts w:hint="default" w:ascii="Times New Roman" w:hAnsi="Times New Roman" w:eastAsia="黑体" w:cs="Times New Roman"/>
          <w:color w:val="auto"/>
          <w:kern w:val="0"/>
          <w:sz w:val="32"/>
          <w:szCs w:val="32"/>
          <w:lang w:val="en-US" w:eastAsia="zh-CN" w:bidi="ar"/>
        </w:rPr>
        <w:t>第一章 发展基础和环境</w:t>
      </w:r>
      <w:bookmarkEnd w:id="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在国内外发展环境发生深刻变化、经济发展下行压力较大的背景下，嵩县县委县政府坚决贯彻习近平总书记关于河南工作的重要讲话和指示批示精神，全面落实河南省委省政府和洛阳市委市政府的决策部署，准确把握新时代发展趋势和阶段性特征，团结带领全县人民抓大事、谋长远、解难题、攻难关，积势蓄势，砥砺奋进，“十三五”规划圆满收官，“生态立县、工业强县、旅游带动、民生为本”迈出坚实步伐，为“十四五”经济社会高质量发展奠定了坚实基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cs="Times New Roman"/>
          <w:color w:val="auto"/>
          <w:sz w:val="32"/>
          <w:szCs w:val="32"/>
        </w:rPr>
      </w:pPr>
      <w:bookmarkStart w:id="2" w:name="_Toc31998"/>
      <w:r>
        <w:rPr>
          <w:rFonts w:hint="default" w:ascii="Times New Roman" w:hAnsi="Times New Roman" w:eastAsia="仿宋_GB2312" w:cs="Times New Roman"/>
          <w:b/>
          <w:color w:val="auto"/>
          <w:kern w:val="0"/>
          <w:sz w:val="32"/>
          <w:szCs w:val="32"/>
          <w:lang w:val="en-US" w:eastAsia="zh-CN" w:bidi="ar"/>
        </w:rPr>
        <w:t>第一节 决胜全面建成小康社会取得决定性成就</w:t>
      </w:r>
      <w:bookmarkEnd w:id="2"/>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综合实力稳中有进</w:t>
      </w:r>
      <w:r>
        <w:rPr>
          <w:rFonts w:hint="default" w:ascii="Times New Roman" w:hAnsi="Times New Roman" w:eastAsia="楷体"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“十三五”期间，嵩县地区生产总值由</w:t>
      </w:r>
      <w:r>
        <w:rPr>
          <w:rFonts w:hint="default" w:ascii="Times New Roman" w:hAnsi="Times New Roman" w:eastAsia="宋体" w:cs="Times New Roman"/>
          <w:color w:val="auto"/>
          <w:kern w:val="0"/>
          <w:sz w:val="32"/>
          <w:szCs w:val="32"/>
          <w:lang w:val="en-US" w:eastAsia="zh-CN" w:bidi="ar"/>
        </w:rPr>
        <w:t xml:space="preserve">152.6 </w:t>
      </w:r>
      <w:r>
        <w:rPr>
          <w:rFonts w:hint="default" w:ascii="Times New Roman" w:hAnsi="Times New Roman" w:eastAsia="仿宋_GB2312" w:cs="Times New Roman"/>
          <w:color w:val="auto"/>
          <w:kern w:val="0"/>
          <w:sz w:val="32"/>
          <w:szCs w:val="32"/>
          <w:lang w:val="en-US" w:eastAsia="zh-CN" w:bidi="ar"/>
        </w:rPr>
        <w:t xml:space="preserve">亿元连续增长至 </w:t>
      </w:r>
      <w:r>
        <w:rPr>
          <w:rFonts w:hint="default" w:ascii="Times New Roman" w:hAnsi="Times New Roman" w:eastAsia="宋体" w:cs="Times New Roman"/>
          <w:color w:val="auto"/>
          <w:kern w:val="0"/>
          <w:sz w:val="32"/>
          <w:szCs w:val="32"/>
          <w:lang w:val="en-US" w:eastAsia="zh-CN" w:bidi="ar"/>
        </w:rPr>
        <w:t xml:space="preserve">165.8 </w:t>
      </w:r>
      <w:r>
        <w:rPr>
          <w:rFonts w:hint="default" w:ascii="Times New Roman" w:hAnsi="Times New Roman" w:eastAsia="仿宋_GB2312" w:cs="Times New Roman"/>
          <w:color w:val="auto"/>
          <w:kern w:val="0"/>
          <w:sz w:val="32"/>
          <w:szCs w:val="32"/>
          <w:lang w:val="en-US" w:eastAsia="zh-CN" w:bidi="ar"/>
        </w:rPr>
        <w:t>亿元、</w:t>
      </w:r>
      <w:r>
        <w:rPr>
          <w:rFonts w:hint="default" w:ascii="Times New Roman" w:hAnsi="Times New Roman" w:eastAsia="宋体" w:cs="Times New Roman"/>
          <w:color w:val="auto"/>
          <w:kern w:val="0"/>
          <w:sz w:val="32"/>
          <w:szCs w:val="32"/>
          <w:lang w:val="en-US" w:eastAsia="zh-CN" w:bidi="ar"/>
        </w:rPr>
        <w:t xml:space="preserve">181.9 </w:t>
      </w:r>
      <w:r>
        <w:rPr>
          <w:rFonts w:hint="default" w:ascii="Times New Roman" w:hAnsi="Times New Roman" w:eastAsia="仿宋_GB2312" w:cs="Times New Roman"/>
          <w:color w:val="auto"/>
          <w:kern w:val="0"/>
          <w:sz w:val="32"/>
          <w:szCs w:val="32"/>
          <w:lang w:val="en-US" w:eastAsia="zh-CN" w:bidi="ar"/>
        </w:rPr>
        <w:t>亿元、</w:t>
      </w:r>
      <w:r>
        <w:rPr>
          <w:rFonts w:hint="default" w:ascii="Times New Roman" w:hAnsi="Times New Roman" w:eastAsia="宋体" w:cs="Times New Roman"/>
          <w:color w:val="auto"/>
          <w:kern w:val="0"/>
          <w:sz w:val="32"/>
          <w:szCs w:val="32"/>
          <w:lang w:val="en-US" w:eastAsia="zh-CN" w:bidi="ar"/>
        </w:rPr>
        <w:t xml:space="preserve">198.3 </w:t>
      </w:r>
      <w:r>
        <w:rPr>
          <w:rFonts w:hint="default" w:ascii="Times New Roman" w:hAnsi="Times New Roman" w:eastAsia="仿宋_GB2312" w:cs="Times New Roman"/>
          <w:color w:val="auto"/>
          <w:kern w:val="0"/>
          <w:sz w:val="32"/>
          <w:szCs w:val="32"/>
          <w:lang w:val="en-US" w:eastAsia="zh-CN" w:bidi="ar"/>
        </w:rPr>
        <w:t>亿元，</w:t>
      </w:r>
      <w:r>
        <w:rPr>
          <w:rFonts w:hint="default" w:ascii="Times New Roman" w:hAnsi="Times New Roman" w:eastAsia="宋体" w:cs="Times New Roman"/>
          <w:color w:val="auto"/>
          <w:kern w:val="0"/>
          <w:sz w:val="32"/>
          <w:szCs w:val="32"/>
          <w:lang w:val="en-US" w:eastAsia="zh-CN" w:bidi="ar"/>
        </w:rPr>
        <w:t>2020</w:t>
      </w:r>
      <w:r>
        <w:rPr>
          <w:rFonts w:hint="default" w:ascii="Times New Roman" w:hAnsi="Times New Roman" w:eastAsia="仿宋_GB2312" w:cs="Times New Roman"/>
          <w:color w:val="auto"/>
          <w:kern w:val="0"/>
          <w:sz w:val="32"/>
          <w:szCs w:val="32"/>
          <w:lang w:val="en-US" w:eastAsia="zh-CN" w:bidi="ar"/>
        </w:rPr>
        <w:t xml:space="preserve">年突破 </w:t>
      </w:r>
      <w:r>
        <w:rPr>
          <w:rFonts w:hint="default" w:ascii="Times New Roman" w:hAnsi="Times New Roman" w:eastAsia="宋体" w:cs="Times New Roman"/>
          <w:color w:val="auto"/>
          <w:kern w:val="0"/>
          <w:sz w:val="32"/>
          <w:szCs w:val="32"/>
          <w:lang w:val="en-US" w:eastAsia="zh-CN" w:bidi="ar"/>
        </w:rPr>
        <w:t xml:space="preserve">200 </w:t>
      </w:r>
      <w:r>
        <w:rPr>
          <w:rFonts w:hint="default" w:ascii="Times New Roman" w:hAnsi="Times New Roman" w:eastAsia="仿宋_GB2312" w:cs="Times New Roman"/>
          <w:color w:val="auto"/>
          <w:kern w:val="0"/>
          <w:sz w:val="32"/>
          <w:szCs w:val="32"/>
          <w:lang w:val="en-US" w:eastAsia="zh-CN" w:bidi="ar"/>
        </w:rPr>
        <w:t xml:space="preserve">亿元。财政一般公共预算收入由 </w:t>
      </w:r>
      <w:r>
        <w:rPr>
          <w:rFonts w:hint="default" w:ascii="Times New Roman" w:hAnsi="Times New Roman" w:eastAsia="宋体" w:cs="Times New Roman"/>
          <w:color w:val="auto"/>
          <w:kern w:val="0"/>
          <w:sz w:val="32"/>
          <w:szCs w:val="32"/>
          <w:lang w:val="en-US" w:eastAsia="zh-CN" w:bidi="ar"/>
        </w:rPr>
        <w:t xml:space="preserve">5.8 </w:t>
      </w:r>
      <w:r>
        <w:rPr>
          <w:rFonts w:hint="default" w:ascii="Times New Roman" w:hAnsi="Times New Roman" w:eastAsia="仿宋_GB2312" w:cs="Times New Roman"/>
          <w:color w:val="auto"/>
          <w:kern w:val="0"/>
          <w:sz w:val="32"/>
          <w:szCs w:val="32"/>
          <w:lang w:val="en-US" w:eastAsia="zh-CN" w:bidi="ar"/>
        </w:rPr>
        <w:t xml:space="preserve">亿元连续增长至 </w:t>
      </w:r>
      <w:r>
        <w:rPr>
          <w:rFonts w:hint="default" w:ascii="Times New Roman" w:hAnsi="Times New Roman" w:eastAsia="宋体" w:cs="Times New Roman"/>
          <w:color w:val="auto"/>
          <w:kern w:val="0"/>
          <w:sz w:val="32"/>
          <w:szCs w:val="32"/>
          <w:lang w:val="en-US" w:eastAsia="zh-CN" w:bidi="ar"/>
        </w:rPr>
        <w:t xml:space="preserve">7.5 </w:t>
      </w:r>
      <w:r>
        <w:rPr>
          <w:rFonts w:hint="default" w:ascii="Times New Roman" w:hAnsi="Times New Roman" w:eastAsia="仿宋_GB2312" w:cs="Times New Roman"/>
          <w:color w:val="auto"/>
          <w:kern w:val="0"/>
          <w:sz w:val="32"/>
          <w:szCs w:val="32"/>
          <w:lang w:val="en-US" w:eastAsia="zh-CN" w:bidi="ar"/>
        </w:rPr>
        <w:t>亿元、</w:t>
      </w:r>
      <w:r>
        <w:rPr>
          <w:rFonts w:hint="default" w:ascii="Times New Roman" w:hAnsi="Times New Roman" w:eastAsia="宋体" w:cs="Times New Roman"/>
          <w:color w:val="auto"/>
          <w:kern w:val="0"/>
          <w:sz w:val="32"/>
          <w:szCs w:val="32"/>
          <w:lang w:val="en-US" w:eastAsia="zh-CN" w:bidi="ar"/>
        </w:rPr>
        <w:t xml:space="preserve">8.4 </w:t>
      </w:r>
      <w:r>
        <w:rPr>
          <w:rFonts w:hint="default" w:ascii="Times New Roman" w:hAnsi="Times New Roman" w:eastAsia="仿宋_GB2312" w:cs="Times New Roman"/>
          <w:color w:val="auto"/>
          <w:kern w:val="0"/>
          <w:sz w:val="32"/>
          <w:szCs w:val="32"/>
          <w:lang w:val="en-US" w:eastAsia="zh-CN" w:bidi="ar"/>
        </w:rPr>
        <w:t>亿元、</w:t>
      </w:r>
      <w:r>
        <w:rPr>
          <w:rFonts w:hint="default" w:ascii="Times New Roman" w:hAnsi="Times New Roman" w:eastAsia="宋体" w:cs="Times New Roman"/>
          <w:color w:val="auto"/>
          <w:kern w:val="0"/>
          <w:sz w:val="32"/>
          <w:szCs w:val="32"/>
          <w:lang w:val="en-US" w:eastAsia="zh-CN" w:bidi="ar"/>
        </w:rPr>
        <w:t xml:space="preserve">9.2 </w:t>
      </w:r>
      <w:r>
        <w:rPr>
          <w:rFonts w:hint="default" w:ascii="Times New Roman" w:hAnsi="Times New Roman" w:eastAsia="仿宋_GB2312" w:cs="Times New Roman"/>
          <w:color w:val="auto"/>
          <w:kern w:val="0"/>
          <w:sz w:val="32"/>
          <w:szCs w:val="32"/>
          <w:lang w:val="en-US" w:eastAsia="zh-CN" w:bidi="ar"/>
        </w:rPr>
        <w:t>亿元，</w:t>
      </w:r>
      <w:r>
        <w:rPr>
          <w:rFonts w:hint="default" w:ascii="Times New Roman" w:hAnsi="Times New Roman" w:eastAsia="宋体" w:cs="Times New Roman"/>
          <w:color w:val="auto"/>
          <w:kern w:val="0"/>
          <w:sz w:val="32"/>
          <w:szCs w:val="32"/>
          <w:lang w:val="en-US" w:eastAsia="zh-CN" w:bidi="ar"/>
        </w:rPr>
        <w:t xml:space="preserve">2020 </w:t>
      </w:r>
      <w:r>
        <w:rPr>
          <w:rFonts w:hint="default" w:ascii="Times New Roman" w:hAnsi="Times New Roman" w:eastAsia="仿宋_GB2312" w:cs="Times New Roman"/>
          <w:color w:val="auto"/>
          <w:kern w:val="0"/>
          <w:sz w:val="32"/>
          <w:szCs w:val="32"/>
          <w:lang w:val="en-US" w:eastAsia="zh-CN" w:bidi="ar"/>
        </w:rPr>
        <w:t xml:space="preserve">年突破 </w:t>
      </w:r>
      <w:r>
        <w:rPr>
          <w:rFonts w:hint="default" w:ascii="Times New Roman" w:hAnsi="Times New Roman" w:eastAsia="宋体" w:cs="Times New Roman"/>
          <w:color w:val="auto"/>
          <w:kern w:val="0"/>
          <w:sz w:val="32"/>
          <w:szCs w:val="32"/>
          <w:lang w:val="en-US" w:eastAsia="zh-CN" w:bidi="ar"/>
        </w:rPr>
        <w:t xml:space="preserve">10 </w:t>
      </w:r>
      <w:r>
        <w:rPr>
          <w:rFonts w:hint="default" w:ascii="Times New Roman" w:hAnsi="Times New Roman" w:eastAsia="仿宋_GB2312" w:cs="Times New Roman"/>
          <w:color w:val="auto"/>
          <w:kern w:val="0"/>
          <w:sz w:val="32"/>
          <w:szCs w:val="32"/>
          <w:lang w:val="en-US" w:eastAsia="zh-CN" w:bidi="ar"/>
        </w:rPr>
        <w:t xml:space="preserve">亿元，年均增长 </w:t>
      </w:r>
      <w:r>
        <w:rPr>
          <w:rFonts w:hint="default" w:ascii="Times New Roman" w:hAnsi="Times New Roman" w:eastAsia="宋体" w:cs="Times New Roman"/>
          <w:color w:val="auto"/>
          <w:kern w:val="0"/>
          <w:sz w:val="32"/>
          <w:szCs w:val="32"/>
          <w:lang w:val="en-US" w:eastAsia="zh-CN" w:bidi="ar"/>
        </w:rPr>
        <w:t>11.6%</w:t>
      </w:r>
      <w:r>
        <w:rPr>
          <w:rFonts w:hint="default" w:ascii="Times New Roman" w:hAnsi="Times New Roman" w:eastAsia="仿宋_GB2312" w:cs="Times New Roman"/>
          <w:color w:val="auto"/>
          <w:kern w:val="0"/>
          <w:sz w:val="32"/>
          <w:szCs w:val="32"/>
          <w:lang w:val="en-US" w:eastAsia="zh-CN" w:bidi="ar"/>
        </w:rPr>
        <w:t xml:space="preserve">。固定资产投资、社会消费品零售总额、居民人均可支配收入等主要经济指标均保持了中高速增长。五年间全县存贷款总额年均增长 </w:t>
      </w:r>
      <w:r>
        <w:rPr>
          <w:rFonts w:hint="default" w:ascii="Times New Roman" w:hAnsi="Times New Roman" w:eastAsia="宋体" w:cs="Times New Roman"/>
          <w:color w:val="auto"/>
          <w:kern w:val="0"/>
          <w:sz w:val="32"/>
          <w:szCs w:val="32"/>
          <w:lang w:val="en-US" w:eastAsia="zh-CN" w:bidi="ar"/>
        </w:rPr>
        <w:t>16.2%</w:t>
      </w:r>
      <w:r>
        <w:rPr>
          <w:rFonts w:hint="default" w:ascii="Times New Roman" w:hAnsi="Times New Roman" w:eastAsia="仿宋_GB2312" w:cs="Times New Roman"/>
          <w:color w:val="auto"/>
          <w:kern w:val="0"/>
          <w:sz w:val="32"/>
          <w:szCs w:val="32"/>
          <w:lang w:val="en-US" w:eastAsia="zh-CN" w:bidi="ar"/>
        </w:rPr>
        <w:t>，经济发展活跃度位居洛阳南部山区县前列。总体上看，“十三五”期间，嵩县整体发展态势良好，为</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十四五</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进一步谋势晋级提供了坚实支撑。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脱贫攻坚成效显著。</w:t>
      </w:r>
      <w:r>
        <w:rPr>
          <w:rFonts w:hint="default" w:ascii="Times New Roman" w:hAnsi="Times New Roman" w:eastAsia="仿宋_GB2312" w:cs="Times New Roman"/>
          <w:color w:val="auto"/>
          <w:kern w:val="0"/>
          <w:sz w:val="32"/>
          <w:szCs w:val="32"/>
          <w:lang w:val="en-US" w:eastAsia="zh-CN" w:bidi="ar"/>
        </w:rPr>
        <w:t>紧跟习总书记和党中央号令，把打好精准脱贫攻坚战作为最大政治任务，在嵩州大地上全面打响了一场力度之大、规模之广、影响之深、前所未有的脱贫攻坚战。始终将脱贫攻坚作为最大的政治责任、最大的民生工程、最大的发展机遇，始终以脱贫攻坚统揽经济社会发展全局，聚焦“两不愁三保障”，落实“六个精准”“五个一批”，累计投入扶贫资金</w:t>
      </w:r>
      <w:r>
        <w:rPr>
          <w:rFonts w:hint="default" w:ascii="Times New Roman" w:hAnsi="Times New Roman" w:eastAsia="宋体" w:cs="Times New Roman"/>
          <w:color w:val="auto"/>
          <w:kern w:val="0"/>
          <w:sz w:val="32"/>
          <w:szCs w:val="32"/>
          <w:lang w:val="en-US" w:eastAsia="zh-CN" w:bidi="ar"/>
        </w:rPr>
        <w:t xml:space="preserve">37.6 </w:t>
      </w:r>
      <w:r>
        <w:rPr>
          <w:rFonts w:hint="default" w:ascii="Times New Roman" w:hAnsi="Times New Roman" w:eastAsia="仿宋_GB2312" w:cs="Times New Roman"/>
          <w:color w:val="auto"/>
          <w:kern w:val="0"/>
          <w:sz w:val="32"/>
          <w:szCs w:val="32"/>
          <w:lang w:val="en-US" w:eastAsia="zh-CN" w:bidi="ar"/>
        </w:rPr>
        <w:t xml:space="preserve">亿元，实现 </w:t>
      </w:r>
      <w:r>
        <w:rPr>
          <w:rFonts w:hint="default" w:ascii="Times New Roman" w:hAnsi="Times New Roman" w:eastAsia="宋体" w:cs="Times New Roman"/>
          <w:color w:val="auto"/>
          <w:kern w:val="0"/>
          <w:sz w:val="32"/>
          <w:szCs w:val="32"/>
          <w:lang w:val="en-US" w:eastAsia="zh-CN" w:bidi="ar"/>
        </w:rPr>
        <w:t xml:space="preserve">2.4 </w:t>
      </w:r>
      <w:r>
        <w:rPr>
          <w:rFonts w:hint="default" w:ascii="Times New Roman" w:hAnsi="Times New Roman" w:eastAsia="仿宋_GB2312" w:cs="Times New Roman"/>
          <w:color w:val="auto"/>
          <w:kern w:val="0"/>
          <w:sz w:val="32"/>
          <w:szCs w:val="32"/>
          <w:lang w:val="en-US" w:eastAsia="zh-CN" w:bidi="ar"/>
        </w:rPr>
        <w:t xml:space="preserve">万户 </w:t>
      </w:r>
      <w:r>
        <w:rPr>
          <w:rFonts w:hint="default" w:ascii="Times New Roman" w:hAnsi="Times New Roman" w:eastAsia="宋体" w:cs="Times New Roman"/>
          <w:color w:val="auto"/>
          <w:kern w:val="0"/>
          <w:sz w:val="32"/>
          <w:szCs w:val="32"/>
          <w:lang w:val="en-US" w:eastAsia="zh-CN" w:bidi="ar"/>
        </w:rPr>
        <w:t xml:space="preserve">8.5 </w:t>
      </w:r>
      <w:r>
        <w:rPr>
          <w:rFonts w:hint="default" w:ascii="Times New Roman" w:hAnsi="Times New Roman" w:eastAsia="仿宋_GB2312" w:cs="Times New Roman"/>
          <w:color w:val="auto"/>
          <w:kern w:val="0"/>
          <w:sz w:val="32"/>
          <w:szCs w:val="32"/>
          <w:lang w:val="en-US" w:eastAsia="zh-CN" w:bidi="ar"/>
        </w:rPr>
        <w:t>万名贫困人口全部脱贫，</w:t>
      </w:r>
      <w:r>
        <w:rPr>
          <w:rFonts w:hint="default" w:ascii="Times New Roman" w:hAnsi="Times New Roman" w:eastAsia="宋体" w:cs="Times New Roman"/>
          <w:color w:val="auto"/>
          <w:kern w:val="0"/>
          <w:sz w:val="32"/>
          <w:szCs w:val="32"/>
          <w:lang w:val="en-US" w:eastAsia="zh-CN" w:bidi="ar"/>
        </w:rPr>
        <w:t xml:space="preserve">110 </w:t>
      </w:r>
      <w:r>
        <w:rPr>
          <w:rFonts w:hint="default" w:ascii="Times New Roman" w:hAnsi="Times New Roman" w:eastAsia="仿宋_GB2312" w:cs="Times New Roman"/>
          <w:color w:val="auto"/>
          <w:kern w:val="0"/>
          <w:sz w:val="32"/>
          <w:szCs w:val="32"/>
          <w:lang w:val="en-US" w:eastAsia="zh-CN" w:bidi="ar"/>
        </w:rPr>
        <w:t xml:space="preserve">个贫困村全部退出，贫困县高质量摘帽，历史性消灭绝对贫困，决战脱贫攻坚取得决定性胜利，县域发展的基础更扎实、底子更厚实。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“十三五”期间嵩县易地扶贫搬迁、旅游扶贫等工作经验被国家、省、市推广，国家领导人汪洋、省委书记王国生、省长尹弘、市委书记李亚、市长刘宛康等领导同志对嵩县工作给予充分肯定。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嵩县扶贫办被授予“全省人民满意的公务员集体”荣誉称号。积极实施产业扶贫，多措并举促增收，全县累计发展经济林达</w:t>
      </w:r>
      <w:r>
        <w:rPr>
          <w:rFonts w:hint="default" w:ascii="Times New Roman" w:hAnsi="Times New Roman" w:eastAsia="宋体" w:cs="Times New Roman"/>
          <w:color w:val="auto"/>
          <w:kern w:val="0"/>
          <w:sz w:val="32"/>
          <w:szCs w:val="32"/>
          <w:lang w:val="en-US" w:eastAsia="zh-CN" w:bidi="ar"/>
        </w:rPr>
        <w:t>50</w:t>
      </w:r>
      <w:r>
        <w:rPr>
          <w:rFonts w:hint="default" w:ascii="Times New Roman" w:hAnsi="Times New Roman" w:eastAsia="仿宋_GB2312" w:cs="Times New Roman"/>
          <w:color w:val="auto"/>
          <w:kern w:val="0"/>
          <w:sz w:val="32"/>
          <w:szCs w:val="32"/>
          <w:lang w:val="en-US" w:eastAsia="zh-CN" w:bidi="ar"/>
        </w:rPr>
        <w:t>万亩、中药材</w:t>
      </w:r>
      <w:r>
        <w:rPr>
          <w:rFonts w:hint="default" w:ascii="Times New Roman" w:hAnsi="Times New Roman" w:eastAsia="宋体" w:cs="Times New Roman"/>
          <w:color w:val="auto"/>
          <w:kern w:val="0"/>
          <w:sz w:val="32"/>
          <w:szCs w:val="32"/>
          <w:lang w:val="en-US" w:eastAsia="zh-CN" w:bidi="ar"/>
        </w:rPr>
        <w:t>48</w:t>
      </w:r>
      <w:r>
        <w:rPr>
          <w:rFonts w:hint="default" w:ascii="Times New Roman" w:hAnsi="Times New Roman" w:eastAsia="仿宋_GB2312" w:cs="Times New Roman"/>
          <w:color w:val="auto"/>
          <w:kern w:val="0"/>
          <w:sz w:val="32"/>
          <w:szCs w:val="32"/>
          <w:lang w:val="en-US" w:eastAsia="zh-CN" w:bidi="ar"/>
        </w:rPr>
        <w:t>万亩、食用菌</w:t>
      </w:r>
      <w:r>
        <w:rPr>
          <w:rFonts w:hint="default" w:ascii="Times New Roman" w:hAnsi="Times New Roman" w:eastAsia="宋体" w:cs="Times New Roman"/>
          <w:color w:val="auto"/>
          <w:kern w:val="0"/>
          <w:sz w:val="32"/>
          <w:szCs w:val="32"/>
          <w:lang w:val="en-US" w:eastAsia="zh-CN" w:bidi="ar"/>
        </w:rPr>
        <w:t>1.5</w:t>
      </w:r>
      <w:r>
        <w:rPr>
          <w:rFonts w:hint="default" w:ascii="Times New Roman" w:hAnsi="Times New Roman" w:eastAsia="仿宋_GB2312" w:cs="Times New Roman"/>
          <w:color w:val="auto"/>
          <w:kern w:val="0"/>
          <w:sz w:val="32"/>
          <w:szCs w:val="32"/>
          <w:lang w:val="en-US" w:eastAsia="zh-CN" w:bidi="ar"/>
        </w:rPr>
        <w:t>亿袋（含木耳）、特色产业</w:t>
      </w:r>
      <w:r>
        <w:rPr>
          <w:rFonts w:hint="default" w:ascii="Times New Roman" w:hAnsi="Times New Roman" w:eastAsia="宋体" w:cs="Times New Roman"/>
          <w:color w:val="auto"/>
          <w:kern w:val="0"/>
          <w:sz w:val="32"/>
          <w:szCs w:val="32"/>
          <w:lang w:val="en-US" w:eastAsia="zh-CN" w:bidi="ar"/>
        </w:rPr>
        <w:t>26</w:t>
      </w:r>
      <w:r>
        <w:rPr>
          <w:rFonts w:hint="default" w:ascii="Times New Roman" w:hAnsi="Times New Roman" w:eastAsia="仿宋_GB2312" w:cs="Times New Roman"/>
          <w:color w:val="auto"/>
          <w:kern w:val="0"/>
          <w:sz w:val="32"/>
          <w:szCs w:val="32"/>
          <w:lang w:val="en-US" w:eastAsia="zh-CN" w:bidi="ar"/>
        </w:rPr>
        <w:t>万亩，养蜂</w:t>
      </w:r>
      <w:r>
        <w:rPr>
          <w:rFonts w:hint="default" w:ascii="Times New Roman" w:hAnsi="Times New Roman" w:eastAsia="宋体"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万箱，建成养殖合作社（场）</w:t>
      </w:r>
      <w:r>
        <w:rPr>
          <w:rFonts w:hint="default" w:ascii="Times New Roman" w:hAnsi="Times New Roman" w:eastAsia="宋体" w:cs="Times New Roman"/>
          <w:color w:val="auto"/>
          <w:kern w:val="0"/>
          <w:sz w:val="32"/>
          <w:szCs w:val="32"/>
          <w:lang w:val="en-US" w:eastAsia="zh-CN" w:bidi="ar"/>
        </w:rPr>
        <w:t>50</w:t>
      </w:r>
      <w:r>
        <w:rPr>
          <w:rFonts w:hint="default" w:ascii="Times New Roman" w:hAnsi="Times New Roman" w:eastAsia="仿宋_GB2312" w:cs="Times New Roman"/>
          <w:color w:val="auto"/>
          <w:kern w:val="0"/>
          <w:sz w:val="32"/>
          <w:szCs w:val="32"/>
          <w:lang w:val="en-US" w:eastAsia="zh-CN" w:bidi="ar"/>
        </w:rPr>
        <w:t>个；开展“老屋认领”“社会公益帮扶”旅游扶贫模式，新建改建精品民宿和农家宾馆</w:t>
      </w:r>
      <w:r>
        <w:rPr>
          <w:rFonts w:hint="default" w:ascii="Times New Roman" w:hAnsi="Times New Roman" w:eastAsia="宋体" w:cs="Times New Roman"/>
          <w:color w:val="auto"/>
          <w:kern w:val="0"/>
          <w:sz w:val="32"/>
          <w:szCs w:val="32"/>
          <w:lang w:val="en-US" w:eastAsia="zh-CN" w:bidi="ar"/>
        </w:rPr>
        <w:t>1151</w:t>
      </w:r>
      <w:r>
        <w:rPr>
          <w:rFonts w:hint="default" w:ascii="Times New Roman" w:hAnsi="Times New Roman" w:eastAsia="仿宋_GB2312" w:cs="Times New Roman"/>
          <w:color w:val="auto"/>
          <w:kern w:val="0"/>
          <w:sz w:val="32"/>
          <w:szCs w:val="32"/>
          <w:lang w:val="en-US" w:eastAsia="zh-CN" w:bidi="ar"/>
        </w:rPr>
        <w:t>家；积极实施转移就业，累计为贫困户提供公益岗位</w:t>
      </w:r>
      <w:r>
        <w:rPr>
          <w:rFonts w:hint="default" w:ascii="Times New Roman" w:hAnsi="Times New Roman" w:eastAsia="宋体" w:cs="Times New Roman"/>
          <w:color w:val="auto"/>
          <w:kern w:val="0"/>
          <w:sz w:val="32"/>
          <w:szCs w:val="32"/>
          <w:lang w:val="en-US" w:eastAsia="zh-CN" w:bidi="ar"/>
        </w:rPr>
        <w:t>9451</w:t>
      </w:r>
      <w:r>
        <w:rPr>
          <w:rFonts w:hint="default" w:ascii="Times New Roman" w:hAnsi="Times New Roman" w:eastAsia="仿宋_GB2312" w:cs="Times New Roman"/>
          <w:color w:val="auto"/>
          <w:kern w:val="0"/>
          <w:sz w:val="32"/>
          <w:szCs w:val="32"/>
          <w:lang w:val="en-US" w:eastAsia="zh-CN" w:bidi="ar"/>
        </w:rPr>
        <w:t>个；全面落实公益林、退耕还林生态保护补偿政策，退耕还林补助资金</w:t>
      </w:r>
      <w:r>
        <w:rPr>
          <w:rFonts w:hint="default" w:ascii="Times New Roman" w:hAnsi="Times New Roman" w:eastAsia="宋体" w:cs="Times New Roman"/>
          <w:color w:val="auto"/>
          <w:kern w:val="0"/>
          <w:sz w:val="32"/>
          <w:szCs w:val="32"/>
          <w:lang w:val="en-US" w:eastAsia="zh-CN" w:bidi="ar"/>
        </w:rPr>
        <w:t>948</w:t>
      </w:r>
      <w:r>
        <w:rPr>
          <w:rFonts w:hint="default" w:ascii="Times New Roman" w:hAnsi="Times New Roman" w:eastAsia="仿宋_GB2312" w:cs="Times New Roman"/>
          <w:color w:val="auto"/>
          <w:kern w:val="0"/>
          <w:sz w:val="32"/>
          <w:szCs w:val="32"/>
          <w:lang w:val="en-US" w:eastAsia="zh-CN" w:bidi="ar"/>
        </w:rPr>
        <w:t>万元，惠及贫困群众</w:t>
      </w:r>
      <w:r>
        <w:rPr>
          <w:rFonts w:hint="default" w:ascii="Times New Roman" w:hAnsi="Times New Roman" w:eastAsia="宋体" w:cs="Times New Roman"/>
          <w:color w:val="auto"/>
          <w:kern w:val="0"/>
          <w:sz w:val="32"/>
          <w:szCs w:val="32"/>
          <w:lang w:val="en-US" w:eastAsia="zh-CN" w:bidi="ar"/>
        </w:rPr>
        <w:t>2.3</w:t>
      </w:r>
      <w:r>
        <w:rPr>
          <w:rFonts w:hint="default" w:ascii="Times New Roman" w:hAnsi="Times New Roman" w:eastAsia="仿宋_GB2312" w:cs="Times New Roman"/>
          <w:color w:val="auto"/>
          <w:kern w:val="0"/>
          <w:sz w:val="32"/>
          <w:szCs w:val="32"/>
          <w:lang w:val="en-US" w:eastAsia="zh-CN" w:bidi="ar"/>
        </w:rPr>
        <w:t>万户，其中贫困户</w:t>
      </w:r>
      <w:r>
        <w:rPr>
          <w:rFonts w:hint="default" w:ascii="Times New Roman" w:hAnsi="Times New Roman" w:eastAsia="宋体" w:cs="Times New Roman"/>
          <w:color w:val="auto"/>
          <w:kern w:val="0"/>
          <w:sz w:val="32"/>
          <w:szCs w:val="32"/>
          <w:lang w:val="en-US" w:eastAsia="zh-CN" w:bidi="ar"/>
        </w:rPr>
        <w:t>5060</w:t>
      </w:r>
      <w:r>
        <w:rPr>
          <w:rFonts w:hint="default" w:ascii="Times New Roman" w:hAnsi="Times New Roman" w:eastAsia="仿宋_GB2312" w:cs="Times New Roman"/>
          <w:color w:val="auto"/>
          <w:kern w:val="0"/>
          <w:sz w:val="32"/>
          <w:szCs w:val="32"/>
          <w:lang w:val="en-US" w:eastAsia="zh-CN" w:bidi="ar"/>
        </w:rPr>
        <w:t>户；强化金融助推作用，累计发放金融扶贫贷款</w:t>
      </w:r>
      <w:r>
        <w:rPr>
          <w:rFonts w:hint="default" w:ascii="Times New Roman" w:hAnsi="Times New Roman" w:eastAsia="宋体" w:cs="Times New Roman"/>
          <w:color w:val="auto"/>
          <w:kern w:val="0"/>
          <w:sz w:val="32"/>
          <w:szCs w:val="32"/>
          <w:lang w:val="en-US" w:eastAsia="zh-CN" w:bidi="ar"/>
        </w:rPr>
        <w:t>3.68</w:t>
      </w:r>
      <w:r>
        <w:rPr>
          <w:rFonts w:hint="default" w:ascii="Times New Roman" w:hAnsi="Times New Roman" w:eastAsia="仿宋_GB2312" w:cs="Times New Roman"/>
          <w:color w:val="auto"/>
          <w:kern w:val="0"/>
          <w:sz w:val="32"/>
          <w:szCs w:val="32"/>
          <w:lang w:val="en-US" w:eastAsia="zh-CN" w:bidi="ar"/>
        </w:rPr>
        <w:t xml:space="preserve">亿元，受益贫困户 </w:t>
      </w:r>
      <w:r>
        <w:rPr>
          <w:rFonts w:hint="default" w:ascii="Times New Roman" w:hAnsi="Times New Roman" w:eastAsia="宋体" w:cs="Times New Roman"/>
          <w:color w:val="auto"/>
          <w:kern w:val="0"/>
          <w:sz w:val="32"/>
          <w:szCs w:val="32"/>
          <w:lang w:val="en-US" w:eastAsia="zh-CN" w:bidi="ar"/>
        </w:rPr>
        <w:t>6755</w:t>
      </w:r>
      <w:r>
        <w:rPr>
          <w:rFonts w:hint="default" w:ascii="Times New Roman" w:hAnsi="Times New Roman" w:eastAsia="仿宋_GB2312" w:cs="Times New Roman"/>
          <w:color w:val="auto"/>
          <w:kern w:val="0"/>
          <w:sz w:val="32"/>
          <w:szCs w:val="32"/>
          <w:lang w:val="en-US" w:eastAsia="zh-CN" w:bidi="ar"/>
        </w:rPr>
        <w:t>户。坚持党建引领促脱贫，打造了一支</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不走的扶贫工作队</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，建设市级“五星支部”</w:t>
      </w:r>
      <w:r>
        <w:rPr>
          <w:rFonts w:hint="default" w:ascii="Times New Roman" w:hAnsi="Times New Roman" w:eastAsia="宋体"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个，打造“三治”并进示范乡村</w:t>
      </w:r>
      <w:r>
        <w:rPr>
          <w:rFonts w:hint="default" w:ascii="Times New Roman" w:hAnsi="Times New Roman" w:eastAsia="宋体" w:cs="Times New Roman"/>
          <w:color w:val="auto"/>
          <w:kern w:val="0"/>
          <w:sz w:val="32"/>
          <w:szCs w:val="32"/>
          <w:lang w:val="en-US" w:eastAsia="zh-CN" w:bidi="ar"/>
        </w:rPr>
        <w:t>65</w:t>
      </w:r>
      <w:r>
        <w:rPr>
          <w:rFonts w:hint="default" w:ascii="Times New Roman" w:hAnsi="Times New Roman" w:eastAsia="仿宋_GB2312" w:cs="Times New Roman"/>
          <w:color w:val="auto"/>
          <w:kern w:val="0"/>
          <w:sz w:val="32"/>
          <w:szCs w:val="32"/>
          <w:lang w:val="en-US" w:eastAsia="zh-CN" w:bidi="ar"/>
        </w:rPr>
        <w:t>个，车村镇龙王村成功创建省级农村基层党建示范村。扎实开展扶贫与扶志、扶智相结合，按照</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社会化筹资、规范化推进</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的原则，建设</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爱心超市</w:t>
      </w:r>
      <w:r>
        <w:rPr>
          <w:rFonts w:hint="default" w:ascii="Times New Roman" w:hAnsi="Times New Roman" w:eastAsia="宋体" w:cs="Times New Roman"/>
          <w:color w:val="auto"/>
          <w:kern w:val="0"/>
          <w:sz w:val="32"/>
          <w:szCs w:val="32"/>
          <w:lang w:val="en-US" w:eastAsia="zh-CN" w:bidi="ar"/>
        </w:rPr>
        <w:t>”110</w:t>
      </w:r>
      <w:r>
        <w:rPr>
          <w:rFonts w:hint="default" w:ascii="Times New Roman" w:hAnsi="Times New Roman" w:eastAsia="仿宋_GB2312" w:cs="Times New Roman"/>
          <w:color w:val="auto"/>
          <w:kern w:val="0"/>
          <w:sz w:val="32"/>
          <w:szCs w:val="32"/>
          <w:lang w:val="en-US" w:eastAsia="zh-CN" w:bidi="ar"/>
        </w:rPr>
        <w:t xml:space="preserve">个，激发了贫困群众的内生动力，为接茬推进乡村振兴奠定了基础。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产业发展势头强劲</w:t>
      </w:r>
      <w:r>
        <w:rPr>
          <w:rFonts w:hint="default" w:ascii="Times New Roman" w:hAnsi="Times New Roman" w:eastAsia="楷体"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走绿色、集约、高效、可循环的</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美丽经济</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发展道路，产业结构不断优化，发展质量稳步提升，规模化水平不断提高。着力培育新材料和文化旅游两大主导产业、生物医药和新能源两大新兴产业、健康养老和高效农业两大特色产业，推动形成“一产培育特色、二产发展壮大、三产持续提升”的发展格局，三次产业结构由</w:t>
      </w:r>
      <w:r>
        <w:rPr>
          <w:rFonts w:hint="default" w:ascii="Times New Roman" w:hAnsi="Times New Roman" w:eastAsia="宋体" w:cs="Times New Roman"/>
          <w:color w:val="auto"/>
          <w:kern w:val="0"/>
          <w:sz w:val="32"/>
          <w:szCs w:val="32"/>
          <w:lang w:val="en-US" w:eastAsia="zh-CN" w:bidi="ar"/>
        </w:rPr>
        <w:t>2015</w:t>
      </w:r>
      <w:r>
        <w:rPr>
          <w:rFonts w:hint="default" w:ascii="Times New Roman" w:hAnsi="Times New Roman" w:eastAsia="仿宋_GB2312" w:cs="Times New Roman"/>
          <w:color w:val="auto"/>
          <w:kern w:val="0"/>
          <w:sz w:val="32"/>
          <w:szCs w:val="32"/>
          <w:lang w:val="en-US" w:eastAsia="zh-CN" w:bidi="ar"/>
        </w:rPr>
        <w:t>年底的</w:t>
      </w:r>
      <w:r>
        <w:rPr>
          <w:rFonts w:hint="default" w:ascii="Times New Roman" w:hAnsi="Times New Roman" w:eastAsia="宋体" w:cs="Times New Roman"/>
          <w:color w:val="auto"/>
          <w:kern w:val="0"/>
          <w:sz w:val="32"/>
          <w:szCs w:val="32"/>
          <w:lang w:val="en-US" w:eastAsia="zh-CN" w:bidi="ar"/>
        </w:rPr>
        <w:t>20:35:45</w:t>
      </w:r>
      <w:r>
        <w:rPr>
          <w:rFonts w:hint="default" w:ascii="Times New Roman" w:hAnsi="Times New Roman" w:eastAsia="仿宋_GB2312" w:cs="Times New Roman"/>
          <w:color w:val="auto"/>
          <w:kern w:val="0"/>
          <w:sz w:val="32"/>
          <w:szCs w:val="32"/>
          <w:lang w:val="en-US" w:eastAsia="zh-CN" w:bidi="ar"/>
        </w:rPr>
        <w:t>调整为</w:t>
      </w:r>
      <w:r>
        <w:rPr>
          <w:rFonts w:hint="default" w:ascii="Times New Roman" w:hAnsi="Times New Roman" w:eastAsia="宋体" w:cs="Times New Roman"/>
          <w:color w:val="auto"/>
          <w:kern w:val="0"/>
          <w:sz w:val="32"/>
          <w:szCs w:val="32"/>
          <w:lang w:val="en-US" w:eastAsia="zh-CN" w:bidi="ar"/>
        </w:rPr>
        <w:t>15:34:51</w:t>
      </w:r>
      <w:r>
        <w:rPr>
          <w:rFonts w:hint="default" w:ascii="Times New Roman" w:hAnsi="Times New Roman" w:eastAsia="仿宋_GB2312" w:cs="Times New Roman"/>
          <w:color w:val="auto"/>
          <w:kern w:val="0"/>
          <w:sz w:val="32"/>
          <w:szCs w:val="32"/>
          <w:lang w:val="en-US" w:eastAsia="zh-CN" w:bidi="ar"/>
        </w:rPr>
        <w:t>，第三产业年增长率达到</w:t>
      </w:r>
      <w:r>
        <w:rPr>
          <w:rFonts w:hint="default" w:ascii="Times New Roman" w:hAnsi="Times New Roman" w:eastAsia="宋体" w:cs="Times New Roman"/>
          <w:color w:val="auto"/>
          <w:kern w:val="0"/>
          <w:sz w:val="32"/>
          <w:szCs w:val="32"/>
          <w:lang w:val="en-US" w:eastAsia="zh-CN" w:bidi="ar"/>
        </w:rPr>
        <w:t>8.4%</w:t>
      </w:r>
      <w:r>
        <w:rPr>
          <w:rFonts w:hint="default" w:ascii="Times New Roman" w:hAnsi="Times New Roman" w:eastAsia="仿宋_GB2312" w:cs="Times New Roman"/>
          <w:color w:val="auto"/>
          <w:kern w:val="0"/>
          <w:sz w:val="32"/>
          <w:szCs w:val="32"/>
          <w:lang w:val="en-US" w:eastAsia="zh-CN" w:bidi="ar"/>
        </w:rPr>
        <w:t>，“一矿独大”的畸形产业结构得到历史性转变。产业集聚区不断壮大制造业规模，中金嵩原、洛阳氟钾、民生药业、平原智能、洛阳锐能等行业领军企业加快延链、补链和强链，综合竞争能力不断提升，产业集聚区企业数量、营业收入、税收分别比</w:t>
      </w:r>
      <w:r>
        <w:rPr>
          <w:rFonts w:hint="default" w:ascii="Times New Roman" w:hAnsi="Times New Roman" w:eastAsia="宋体" w:cs="Times New Roman"/>
          <w:color w:val="auto"/>
          <w:kern w:val="0"/>
          <w:sz w:val="32"/>
          <w:szCs w:val="32"/>
          <w:lang w:val="en-US" w:eastAsia="zh-CN" w:bidi="ar"/>
        </w:rPr>
        <w:t>2015</w:t>
      </w:r>
      <w:r>
        <w:rPr>
          <w:rFonts w:hint="default" w:ascii="Times New Roman" w:hAnsi="Times New Roman" w:eastAsia="仿宋_GB2312" w:cs="Times New Roman"/>
          <w:color w:val="auto"/>
          <w:kern w:val="0"/>
          <w:sz w:val="32"/>
          <w:szCs w:val="32"/>
          <w:lang w:val="en-US" w:eastAsia="zh-CN" w:bidi="ar"/>
        </w:rPr>
        <w:t>年增长</w:t>
      </w:r>
      <w:r>
        <w:rPr>
          <w:rFonts w:hint="default" w:ascii="Times New Roman" w:hAnsi="Times New Roman" w:eastAsia="宋体" w:cs="Times New Roman"/>
          <w:color w:val="auto"/>
          <w:kern w:val="0"/>
          <w:sz w:val="32"/>
          <w:szCs w:val="32"/>
          <w:lang w:val="en-US" w:eastAsia="zh-CN" w:bidi="ar"/>
        </w:rPr>
        <w:t>139%</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61%</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75%</w:t>
      </w:r>
      <w:r>
        <w:rPr>
          <w:rFonts w:hint="default" w:ascii="Times New Roman" w:hAnsi="Times New Roman" w:eastAsia="仿宋_GB2312"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矿产品精深加工稳中提质，工业支柱性地位明显，黄金采选及加工企业达到</w:t>
      </w:r>
      <w:r>
        <w:rPr>
          <w:rFonts w:hint="default" w:ascii="Times New Roman" w:hAnsi="Times New Roman" w:eastAsia="宋体"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val="en-US" w:eastAsia="zh-CN" w:bidi="ar"/>
        </w:rPr>
        <w:t>家，年产黄金达到</w:t>
      </w:r>
      <w:r>
        <w:rPr>
          <w:rFonts w:hint="default" w:ascii="Times New Roman" w:hAnsi="Times New Roman" w:eastAsia="宋体" w:cs="Times New Roman"/>
          <w:color w:val="auto"/>
          <w:kern w:val="0"/>
          <w:sz w:val="32"/>
          <w:szCs w:val="32"/>
          <w:lang w:val="en-US" w:eastAsia="zh-CN" w:bidi="ar"/>
        </w:rPr>
        <w:t>40</w:t>
      </w:r>
      <w:r>
        <w:rPr>
          <w:rFonts w:hint="default" w:ascii="Times New Roman" w:hAnsi="Times New Roman" w:eastAsia="仿宋_GB2312" w:cs="Times New Roman"/>
          <w:color w:val="auto"/>
          <w:kern w:val="0"/>
          <w:sz w:val="32"/>
          <w:szCs w:val="32"/>
          <w:lang w:val="en-US" w:eastAsia="zh-CN" w:bidi="ar"/>
        </w:rPr>
        <w:t>万两。市级以上农业产业化龙头企业达到</w:t>
      </w:r>
      <w:r>
        <w:rPr>
          <w:rFonts w:hint="default" w:ascii="Times New Roman" w:hAnsi="Times New Roman" w:eastAsia="宋体" w:cs="Times New Roman"/>
          <w:color w:val="auto"/>
          <w:kern w:val="0"/>
          <w:sz w:val="32"/>
          <w:szCs w:val="32"/>
          <w:lang w:val="en-US" w:eastAsia="zh-CN" w:bidi="ar"/>
        </w:rPr>
        <w:t>32</w:t>
      </w:r>
      <w:r>
        <w:rPr>
          <w:rFonts w:hint="default" w:ascii="Times New Roman" w:hAnsi="Times New Roman" w:eastAsia="仿宋_GB2312" w:cs="Times New Roman"/>
          <w:color w:val="auto"/>
          <w:kern w:val="0"/>
          <w:sz w:val="32"/>
          <w:szCs w:val="32"/>
          <w:lang w:val="en-US" w:eastAsia="zh-CN" w:bidi="ar"/>
        </w:rPr>
        <w:t>家，林、牧、烟、药、菌等山乡特色农业集中连片发展态势明显。建成全国最大的皂刺网上电子交易平台、全省最大的桑蚕种养基地、全省十大香菇种植基地，稳居全省中药材产业发展十强县。黄庄乡荣获</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河南省食用菌行业优秀特色乡镇</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，何村乡荣获“河南省中药材产业发展十强县示范基地”。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引进建成闫庄羊妙妙，阡陌桑田，大坪鑫豕海，田湖菘田，何村嵩洋奶绵羊等一大批农业龙头企业。全国丝绸协会秘书长工作座谈会、第二届河南省豫西夏香菇生产技术观摩交流培训会相继在嵩县召开。全域旅游不断补短板、强弱项，创新营销模式，扩大品牌影响。开展旅游爱心公益活动，举办“全球文旅创作大会”，持续完善旅游基础设施和服务设施，</w:t>
      </w:r>
      <w:r>
        <w:rPr>
          <w:rFonts w:hint="default" w:ascii="Times New Roman" w:hAnsi="Times New Roman" w:eastAsia="宋体" w:cs="Times New Roman"/>
          <w:color w:val="auto"/>
          <w:kern w:val="0"/>
          <w:sz w:val="32"/>
          <w:szCs w:val="32"/>
          <w:lang w:val="en-US" w:eastAsia="zh-CN" w:bidi="ar"/>
        </w:rPr>
        <w:t>5A</w:t>
      </w:r>
      <w:r>
        <w:rPr>
          <w:rFonts w:hint="default" w:ascii="Times New Roman" w:hAnsi="Times New Roman" w:eastAsia="仿宋_GB2312" w:cs="Times New Roman"/>
          <w:color w:val="auto"/>
          <w:kern w:val="0"/>
          <w:sz w:val="32"/>
          <w:szCs w:val="32"/>
          <w:lang w:val="en-US" w:eastAsia="zh-CN" w:bidi="ar"/>
        </w:rPr>
        <w:t>嵩县知名度不断提升，车村镇、白河镇、德亭镇获得“特色生态旅游示范镇”，木札岭 速龙滑雪场被评为国家</w:t>
      </w:r>
      <w:r>
        <w:rPr>
          <w:rFonts w:hint="default" w:ascii="Times New Roman" w:hAnsi="Times New Roman" w:eastAsia="宋体" w:cs="Times New Roman"/>
          <w:color w:val="auto"/>
          <w:kern w:val="0"/>
          <w:sz w:val="32"/>
          <w:szCs w:val="32"/>
          <w:lang w:val="en-US" w:eastAsia="zh-CN" w:bidi="ar"/>
        </w:rPr>
        <w:t>A</w:t>
      </w:r>
      <w:r>
        <w:rPr>
          <w:rFonts w:hint="default" w:ascii="Times New Roman" w:hAnsi="Times New Roman" w:eastAsia="仿宋_GB2312" w:cs="Times New Roman"/>
          <w:color w:val="auto"/>
          <w:kern w:val="0"/>
          <w:sz w:val="32"/>
          <w:szCs w:val="32"/>
          <w:lang w:val="en-US" w:eastAsia="zh-CN" w:bidi="ar"/>
        </w:rPr>
        <w:t>级景区。</w:t>
      </w:r>
      <w:r>
        <w:rPr>
          <w:rFonts w:hint="default" w:ascii="Times New Roman" w:hAnsi="Times New Roman" w:eastAsia="宋体" w:cs="Times New Roman"/>
          <w:color w:val="auto"/>
          <w:kern w:val="0"/>
          <w:sz w:val="32"/>
          <w:szCs w:val="32"/>
          <w:lang w:val="en-US" w:eastAsia="zh-CN" w:bidi="ar"/>
        </w:rPr>
        <w:t>A</w:t>
      </w:r>
      <w:r>
        <w:rPr>
          <w:rFonts w:hint="default" w:ascii="Times New Roman" w:hAnsi="Times New Roman" w:eastAsia="仿宋_GB2312" w:cs="Times New Roman"/>
          <w:color w:val="auto"/>
          <w:kern w:val="0"/>
          <w:sz w:val="32"/>
          <w:szCs w:val="32"/>
          <w:lang w:val="en-US" w:eastAsia="zh-CN" w:bidi="ar"/>
        </w:rPr>
        <w:t>级景区数量从</w:t>
      </w:r>
      <w:r>
        <w:rPr>
          <w:rFonts w:hint="default" w:ascii="Times New Roman" w:hAnsi="Times New Roman" w:eastAsia="宋体" w:cs="Times New Roman"/>
          <w:color w:val="auto"/>
          <w:kern w:val="0"/>
          <w:sz w:val="32"/>
          <w:szCs w:val="32"/>
          <w:lang w:val="en-US" w:eastAsia="zh-CN" w:bidi="ar"/>
        </w:rPr>
        <w:t>2015</w:t>
      </w:r>
      <w:r>
        <w:rPr>
          <w:rFonts w:hint="default" w:ascii="Times New Roman" w:hAnsi="Times New Roman" w:eastAsia="仿宋_GB2312" w:cs="Times New Roman"/>
          <w:color w:val="auto"/>
          <w:kern w:val="0"/>
          <w:sz w:val="32"/>
          <w:szCs w:val="32"/>
          <w:lang w:val="en-US" w:eastAsia="zh-CN" w:bidi="ar"/>
        </w:rPr>
        <w:t>年底的</w:t>
      </w:r>
      <w:r>
        <w:rPr>
          <w:rFonts w:hint="default" w:ascii="Times New Roman" w:hAnsi="Times New Roman" w:eastAsia="宋体"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个增至</w:t>
      </w:r>
      <w:r>
        <w:rPr>
          <w:rFonts w:hint="default" w:ascii="Times New Roman" w:hAnsi="Times New Roman" w:eastAsia="宋体" w:cs="Times New Roman"/>
          <w:color w:val="auto"/>
          <w:kern w:val="0"/>
          <w:sz w:val="32"/>
          <w:szCs w:val="32"/>
          <w:lang w:val="en-US" w:eastAsia="zh-CN" w:bidi="ar"/>
        </w:rPr>
        <w:t>12</w:t>
      </w:r>
      <w:r>
        <w:rPr>
          <w:rFonts w:hint="default" w:ascii="Times New Roman" w:hAnsi="Times New Roman" w:eastAsia="仿宋_GB2312" w:cs="Times New Roman"/>
          <w:color w:val="auto"/>
          <w:kern w:val="0"/>
          <w:sz w:val="32"/>
          <w:szCs w:val="32"/>
          <w:lang w:val="en-US" w:eastAsia="zh-CN" w:bidi="ar"/>
        </w:rPr>
        <w:t>个，乡村旅游景区数量由</w:t>
      </w:r>
      <w:r>
        <w:rPr>
          <w:rFonts w:hint="default" w:ascii="Times New Roman" w:hAnsi="Times New Roman" w:eastAsia="宋体" w:cs="Times New Roman"/>
          <w:color w:val="auto"/>
          <w:kern w:val="0"/>
          <w:sz w:val="32"/>
          <w:szCs w:val="32"/>
          <w:lang w:val="en-US" w:eastAsia="zh-CN" w:bidi="ar"/>
        </w:rPr>
        <w:t>2015</w:t>
      </w:r>
      <w:r>
        <w:rPr>
          <w:rFonts w:hint="default" w:ascii="Times New Roman" w:hAnsi="Times New Roman" w:eastAsia="仿宋_GB2312" w:cs="Times New Roman"/>
          <w:color w:val="auto"/>
          <w:kern w:val="0"/>
          <w:sz w:val="32"/>
          <w:szCs w:val="32"/>
          <w:lang w:val="en-US" w:eastAsia="zh-CN" w:bidi="ar"/>
        </w:rPr>
        <w:t>年底的</w:t>
      </w:r>
      <w:r>
        <w:rPr>
          <w:rFonts w:hint="default" w:ascii="Times New Roman" w:hAnsi="Times New Roman" w:eastAsia="宋体" w:cs="Times New Roman"/>
          <w:color w:val="auto"/>
          <w:kern w:val="0"/>
          <w:sz w:val="32"/>
          <w:szCs w:val="32"/>
          <w:lang w:val="en-US" w:eastAsia="zh-CN" w:bidi="ar"/>
        </w:rPr>
        <w:t>16</w:t>
      </w:r>
      <w:r>
        <w:rPr>
          <w:rFonts w:hint="default" w:ascii="Times New Roman" w:hAnsi="Times New Roman" w:eastAsia="仿宋_GB2312" w:cs="Times New Roman"/>
          <w:color w:val="auto"/>
          <w:kern w:val="0"/>
          <w:sz w:val="32"/>
          <w:szCs w:val="32"/>
          <w:lang w:val="en-US" w:eastAsia="zh-CN" w:bidi="ar"/>
        </w:rPr>
        <w:t>个增至</w:t>
      </w:r>
      <w:r>
        <w:rPr>
          <w:rFonts w:hint="default" w:ascii="Times New Roman" w:hAnsi="Times New Roman" w:eastAsia="宋体" w:cs="Times New Roman"/>
          <w:color w:val="auto"/>
          <w:kern w:val="0"/>
          <w:sz w:val="32"/>
          <w:szCs w:val="32"/>
          <w:lang w:val="en-US" w:eastAsia="zh-CN" w:bidi="ar"/>
        </w:rPr>
        <w:t>23</w:t>
      </w:r>
      <w:r>
        <w:rPr>
          <w:rFonts w:hint="default" w:ascii="Times New Roman" w:hAnsi="Times New Roman" w:eastAsia="仿宋_GB2312" w:cs="Times New Roman"/>
          <w:color w:val="auto"/>
          <w:kern w:val="0"/>
          <w:sz w:val="32"/>
          <w:szCs w:val="32"/>
          <w:lang w:val="en-US" w:eastAsia="zh-CN" w:bidi="ar"/>
        </w:rPr>
        <w:t>个。强力实施九大文旅工程、滑雪场等项目，“重山水轻人文、重嵩南轻嵩北”的深层次问题逐步得到解决，补上了“冬季游”的短板，“十三五”游客接待累计突破</w:t>
      </w:r>
      <w:r>
        <w:rPr>
          <w:rFonts w:hint="default" w:ascii="Times New Roman" w:hAnsi="Times New Roman" w:eastAsia="宋体" w:cs="Times New Roman"/>
          <w:color w:val="auto"/>
          <w:kern w:val="0"/>
          <w:sz w:val="32"/>
          <w:szCs w:val="32"/>
          <w:lang w:val="en-US" w:eastAsia="zh-CN" w:bidi="ar"/>
        </w:rPr>
        <w:t>5000</w:t>
      </w:r>
      <w:r>
        <w:rPr>
          <w:rFonts w:hint="default" w:ascii="Times New Roman" w:hAnsi="Times New Roman" w:eastAsia="仿宋_GB2312" w:cs="Times New Roman"/>
          <w:color w:val="auto"/>
          <w:kern w:val="0"/>
          <w:sz w:val="32"/>
          <w:szCs w:val="32"/>
          <w:lang w:val="en-US" w:eastAsia="zh-CN" w:bidi="ar"/>
        </w:rPr>
        <w:t xml:space="preserve">万人。成功创建省级全域旅游示范区，获“中国天然氧吧县”称号。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科技创新跨越升级。</w:t>
      </w:r>
      <w:r>
        <w:rPr>
          <w:rFonts w:hint="default" w:ascii="Times New Roman" w:hAnsi="Times New Roman" w:eastAsia="仿宋_GB2312" w:cs="Times New Roman"/>
          <w:color w:val="auto"/>
          <w:kern w:val="0"/>
          <w:sz w:val="32"/>
          <w:szCs w:val="32"/>
          <w:lang w:val="en-US" w:eastAsia="zh-CN" w:bidi="ar"/>
        </w:rPr>
        <w:t>全县规上企业达到</w:t>
      </w:r>
      <w:r>
        <w:rPr>
          <w:rFonts w:hint="default" w:ascii="Times New Roman" w:hAnsi="Times New Roman" w:eastAsia="宋体" w:cs="Times New Roman"/>
          <w:color w:val="auto"/>
          <w:kern w:val="0"/>
          <w:sz w:val="32"/>
          <w:szCs w:val="32"/>
          <w:lang w:val="en-US" w:eastAsia="zh-CN" w:bidi="ar"/>
        </w:rPr>
        <w:t>51</w:t>
      </w:r>
      <w:r>
        <w:rPr>
          <w:rFonts w:hint="default" w:ascii="Times New Roman" w:hAnsi="Times New Roman" w:eastAsia="仿宋_GB2312" w:cs="Times New Roman"/>
          <w:color w:val="auto"/>
          <w:kern w:val="0"/>
          <w:sz w:val="32"/>
          <w:szCs w:val="32"/>
          <w:lang w:val="en-US" w:eastAsia="zh-CN" w:bidi="ar"/>
        </w:rPr>
        <w:t>家，高新技术企业</w:t>
      </w:r>
      <w:r>
        <w:rPr>
          <w:rFonts w:hint="default" w:ascii="Times New Roman" w:hAnsi="Times New Roman" w:eastAsia="宋体" w:cs="Times New Roman"/>
          <w:color w:val="auto"/>
          <w:kern w:val="0"/>
          <w:sz w:val="32"/>
          <w:szCs w:val="32"/>
          <w:lang w:val="en-US" w:eastAsia="zh-CN" w:bidi="ar"/>
        </w:rPr>
        <w:t>12</w:t>
      </w:r>
      <w:r>
        <w:rPr>
          <w:rFonts w:hint="default" w:ascii="Times New Roman" w:hAnsi="Times New Roman" w:eastAsia="仿宋_GB2312" w:cs="Times New Roman"/>
          <w:color w:val="auto"/>
          <w:kern w:val="0"/>
          <w:sz w:val="32"/>
          <w:szCs w:val="32"/>
          <w:lang w:val="en-US" w:eastAsia="zh-CN" w:bidi="ar"/>
        </w:rPr>
        <w:t>家，省级工程技术研究中心</w:t>
      </w:r>
      <w:r>
        <w:rPr>
          <w:rFonts w:hint="default" w:ascii="Times New Roman" w:hAnsi="Times New Roman" w:eastAsia="宋体" w:cs="Times New Roman"/>
          <w:color w:val="auto"/>
          <w:kern w:val="0"/>
          <w:sz w:val="32"/>
          <w:szCs w:val="32"/>
          <w:lang w:val="en-US" w:eastAsia="zh-CN" w:bidi="ar"/>
        </w:rPr>
        <w:t>8</w:t>
      </w:r>
      <w:r>
        <w:rPr>
          <w:rFonts w:hint="default" w:ascii="Times New Roman" w:hAnsi="Times New Roman" w:eastAsia="仿宋_GB2312" w:cs="Times New Roman"/>
          <w:color w:val="auto"/>
          <w:kern w:val="0"/>
          <w:sz w:val="32"/>
          <w:szCs w:val="32"/>
          <w:lang w:val="en-US" w:eastAsia="zh-CN" w:bidi="ar"/>
        </w:rPr>
        <w:t>家，市级企业研发中心</w:t>
      </w:r>
      <w:r>
        <w:rPr>
          <w:rFonts w:hint="default" w:ascii="Times New Roman" w:hAnsi="Times New Roman" w:eastAsia="宋体" w:cs="Times New Roman"/>
          <w:color w:val="auto"/>
          <w:kern w:val="0"/>
          <w:sz w:val="32"/>
          <w:szCs w:val="32"/>
          <w:lang w:val="en-US" w:eastAsia="zh-CN" w:bidi="ar"/>
        </w:rPr>
        <w:t>36</w:t>
      </w:r>
      <w:r>
        <w:rPr>
          <w:rFonts w:hint="default" w:ascii="Times New Roman" w:hAnsi="Times New Roman" w:eastAsia="仿宋_GB2312" w:cs="Times New Roman"/>
          <w:color w:val="auto"/>
          <w:kern w:val="0"/>
          <w:sz w:val="32"/>
          <w:szCs w:val="32"/>
          <w:lang w:val="en-US" w:eastAsia="zh-CN" w:bidi="ar"/>
        </w:rPr>
        <w:t xml:space="preserve">家。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生态建设绿亮净美。</w:t>
      </w:r>
      <w:r>
        <w:rPr>
          <w:rFonts w:hint="default" w:ascii="Times New Roman" w:hAnsi="Times New Roman" w:eastAsia="仿宋_GB2312" w:cs="Times New Roman"/>
          <w:color w:val="auto"/>
          <w:kern w:val="0"/>
          <w:sz w:val="32"/>
          <w:szCs w:val="32"/>
          <w:lang w:val="en-US" w:eastAsia="zh-CN" w:bidi="ar"/>
        </w:rPr>
        <w:t>坚持山水林田湖草沙一体治理，统筹推进国土绿化、水体和矿山治理、大气环境提质。牢固树立“陆浑兴则嵩县兴”理念，累计投资</w:t>
      </w:r>
      <w:r>
        <w:rPr>
          <w:rFonts w:hint="default" w:ascii="Times New Roman" w:hAnsi="Times New Roman" w:eastAsia="宋体" w:cs="Times New Roman"/>
          <w:color w:val="auto"/>
          <w:kern w:val="0"/>
          <w:sz w:val="32"/>
          <w:szCs w:val="32"/>
          <w:lang w:val="en-US" w:eastAsia="zh-CN" w:bidi="ar"/>
        </w:rPr>
        <w:t>20</w:t>
      </w:r>
      <w:r>
        <w:rPr>
          <w:rFonts w:hint="default" w:ascii="Times New Roman" w:hAnsi="Times New Roman" w:eastAsia="仿宋_GB2312" w:cs="Times New Roman"/>
          <w:color w:val="auto"/>
          <w:kern w:val="0"/>
          <w:sz w:val="32"/>
          <w:szCs w:val="32"/>
          <w:lang w:val="en-US" w:eastAsia="zh-CN" w:bidi="ar"/>
        </w:rPr>
        <w:t>多亿元，建成产业集聚区污水处理厂、伊东新区第二污水处理厂，提升改建洁绿污水处理厂，铺设环陆浑水库污水收集管网</w:t>
      </w:r>
      <w:r>
        <w:rPr>
          <w:rFonts w:hint="default" w:ascii="Times New Roman" w:hAnsi="Times New Roman" w:eastAsia="宋体" w:cs="Times New Roman"/>
          <w:color w:val="auto"/>
          <w:kern w:val="0"/>
          <w:sz w:val="32"/>
          <w:szCs w:val="32"/>
          <w:lang w:val="en-US" w:eastAsia="zh-CN" w:bidi="ar"/>
        </w:rPr>
        <w:t>64.6</w:t>
      </w:r>
      <w:r>
        <w:rPr>
          <w:rFonts w:hint="default" w:ascii="Times New Roman" w:hAnsi="Times New Roman" w:eastAsia="仿宋_GB2312" w:cs="Times New Roman"/>
          <w:color w:val="auto"/>
          <w:kern w:val="0"/>
          <w:sz w:val="32"/>
          <w:szCs w:val="32"/>
          <w:lang w:val="en-US" w:eastAsia="zh-CN" w:bidi="ar"/>
        </w:rPr>
        <w:t>公里，修建完善城区污水管网</w:t>
      </w:r>
      <w:r>
        <w:rPr>
          <w:rFonts w:hint="default" w:ascii="Times New Roman" w:hAnsi="Times New Roman" w:eastAsia="宋体" w:cs="Times New Roman"/>
          <w:color w:val="auto"/>
          <w:kern w:val="0"/>
          <w:sz w:val="32"/>
          <w:szCs w:val="32"/>
          <w:lang w:val="en-US" w:eastAsia="zh-CN" w:bidi="ar"/>
        </w:rPr>
        <w:t>67.8</w:t>
      </w:r>
      <w:r>
        <w:rPr>
          <w:rFonts w:hint="default" w:ascii="Times New Roman" w:hAnsi="Times New Roman" w:eastAsia="仿宋_GB2312" w:cs="Times New Roman"/>
          <w:color w:val="auto"/>
          <w:kern w:val="0"/>
          <w:sz w:val="32"/>
          <w:szCs w:val="32"/>
          <w:lang w:val="en-US" w:eastAsia="zh-CN" w:bidi="ar"/>
        </w:rPr>
        <w:t>公里，实现环陆浑水库周边生活污水管网全覆盖，县城污水收集率达</w:t>
      </w:r>
      <w:r>
        <w:rPr>
          <w:rFonts w:hint="default" w:ascii="Times New Roman" w:hAnsi="Times New Roman" w:eastAsia="宋体" w:cs="Times New Roman"/>
          <w:color w:val="auto"/>
          <w:kern w:val="0"/>
          <w:sz w:val="32"/>
          <w:szCs w:val="32"/>
          <w:lang w:val="en-US" w:eastAsia="zh-CN" w:bidi="ar"/>
        </w:rPr>
        <w:t>96%</w:t>
      </w:r>
      <w:r>
        <w:rPr>
          <w:rFonts w:hint="default" w:ascii="Times New Roman" w:hAnsi="Times New Roman" w:eastAsia="仿宋_GB2312" w:cs="Times New Roman"/>
          <w:color w:val="auto"/>
          <w:kern w:val="0"/>
          <w:sz w:val="32"/>
          <w:szCs w:val="32"/>
          <w:lang w:val="en-US" w:eastAsia="zh-CN" w:bidi="ar"/>
        </w:rPr>
        <w:t>以上。加快推进造林绿化、廊道绿化、绿色村镇和绿色城市建设，建成陆浑湖国家湿地公园，全县形成了纵横成网、完整连续、景观优美的生态廊道系统，森林覆盖率由6</w:t>
      </w:r>
      <w:r>
        <w:rPr>
          <w:rFonts w:hint="default" w:ascii="Times New Roman" w:hAnsi="Times New Roman" w:eastAsia="宋体" w:cs="Times New Roman"/>
          <w:color w:val="auto"/>
          <w:kern w:val="0"/>
          <w:sz w:val="32"/>
          <w:szCs w:val="32"/>
          <w:lang w:val="en-US" w:eastAsia="zh-CN" w:bidi="ar"/>
        </w:rPr>
        <w:t>2.9%</w:t>
      </w:r>
      <w:r>
        <w:rPr>
          <w:rFonts w:hint="default" w:ascii="Times New Roman" w:hAnsi="Times New Roman" w:eastAsia="仿宋_GB2312" w:cs="Times New Roman"/>
          <w:color w:val="auto"/>
          <w:kern w:val="0"/>
          <w:sz w:val="32"/>
          <w:szCs w:val="32"/>
          <w:lang w:val="en-US" w:eastAsia="zh-CN" w:bidi="ar"/>
        </w:rPr>
        <w:t>提升至</w:t>
      </w:r>
      <w:r>
        <w:rPr>
          <w:rFonts w:hint="eastAsia" w:ascii="Times New Roman" w:hAnsi="Times New Roman" w:eastAsia="仿宋_GB2312" w:cs="Times New Roman"/>
          <w:color w:val="auto"/>
          <w:kern w:val="0"/>
          <w:sz w:val="32"/>
          <w:szCs w:val="32"/>
          <w:lang w:val="en-US" w:eastAsia="zh-CN" w:bidi="ar"/>
        </w:rPr>
        <w:t>71</w:t>
      </w:r>
      <w:r>
        <w:rPr>
          <w:rFonts w:hint="default" w:ascii="Times New Roman" w:hAnsi="Times New Roman" w:eastAsia="宋体" w:cs="Times New Roman"/>
          <w:color w:val="auto"/>
          <w:kern w:val="0"/>
          <w:sz w:val="32"/>
          <w:szCs w:val="32"/>
          <w:lang w:val="en-US" w:eastAsia="zh-CN" w:bidi="ar"/>
        </w:rPr>
        <w:t>.</w:t>
      </w:r>
      <w:r>
        <w:rPr>
          <w:rFonts w:hint="eastAsia" w:ascii="Times New Roman" w:hAnsi="Times New Roman" w:eastAsia="宋体" w:cs="Times New Roman"/>
          <w:color w:val="auto"/>
          <w:kern w:val="0"/>
          <w:sz w:val="32"/>
          <w:szCs w:val="32"/>
          <w:lang w:val="en-US" w:eastAsia="zh-CN" w:bidi="ar"/>
        </w:rPr>
        <w:t>12</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聚焦水资源、水生态、水环境、水灾害“四水同治”和小型水利工程建设，以“两库三河”为重点，深入开展河湖“清四乱”，全面推进全县水源涵养、水生态功能提升、水旱灾害防治和水景观廊道建设，出境水断面达标率</w:t>
      </w:r>
      <w:r>
        <w:rPr>
          <w:rFonts w:hint="default" w:ascii="Times New Roman" w:hAnsi="Times New Roman" w:eastAsia="宋体"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，基本构筑起山水共融共生，一体化生态安全格局。实施钼污染综合治理和露天矿山综合整治行动计划，实现全域矿石、废渣动态清零，加快矿区植被恢复和森林化建设，成功创建</w:t>
      </w:r>
      <w:r>
        <w:rPr>
          <w:rFonts w:hint="default" w:ascii="Times New Roman" w:hAnsi="Times New Roman" w:eastAsia="宋体" w:cs="Times New Roman"/>
          <w:color w:val="auto"/>
          <w:kern w:val="0"/>
          <w:sz w:val="32"/>
          <w:szCs w:val="32"/>
          <w:lang w:val="en-US" w:eastAsia="zh-CN" w:bidi="ar"/>
        </w:rPr>
        <w:t>7</w:t>
      </w:r>
      <w:r>
        <w:rPr>
          <w:rFonts w:hint="default" w:ascii="Times New Roman" w:hAnsi="Times New Roman" w:eastAsia="仿宋_GB2312" w:cs="Times New Roman"/>
          <w:color w:val="auto"/>
          <w:kern w:val="0"/>
          <w:sz w:val="32"/>
          <w:szCs w:val="32"/>
          <w:lang w:val="en-US" w:eastAsia="zh-CN" w:bidi="ar"/>
        </w:rPr>
        <w:t>家国家级绿色矿山，</w:t>
      </w:r>
      <w:r>
        <w:rPr>
          <w:rFonts w:hint="default" w:ascii="Times New Roman" w:hAnsi="Times New Roman" w:eastAsia="宋体"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家省级绿色矿山通过评估验收，总量居全市之首。持续推进扬尘、燃煤、工业、机动车和城市生活面源五大攻坚战，基本实现“散乱污”企业动态清零，“十三五”生态环境质量状 况指数（</w:t>
      </w:r>
      <w:r>
        <w:rPr>
          <w:rFonts w:hint="default" w:ascii="Times New Roman" w:hAnsi="Times New Roman" w:eastAsia="宋体" w:cs="Times New Roman"/>
          <w:color w:val="auto"/>
          <w:kern w:val="0"/>
          <w:sz w:val="32"/>
          <w:szCs w:val="32"/>
          <w:lang w:val="en-US" w:eastAsia="zh-CN" w:bidi="ar"/>
        </w:rPr>
        <w:t>EI</w:t>
      </w:r>
      <w:r>
        <w:rPr>
          <w:rFonts w:hint="default" w:ascii="Times New Roman" w:hAnsi="Times New Roman" w:eastAsia="仿宋_GB2312" w:cs="Times New Roman"/>
          <w:color w:val="auto"/>
          <w:kern w:val="0"/>
          <w:sz w:val="32"/>
          <w:szCs w:val="32"/>
          <w:lang w:val="en-US" w:eastAsia="zh-CN" w:bidi="ar"/>
        </w:rPr>
        <w:t>值）</w:t>
      </w:r>
      <w:r>
        <w:rPr>
          <w:rFonts w:hint="default" w:ascii="Times New Roman" w:hAnsi="Times New Roman" w:eastAsia="宋体" w:cs="Times New Roman"/>
          <w:color w:val="auto"/>
          <w:kern w:val="0"/>
          <w:sz w:val="32"/>
          <w:szCs w:val="32"/>
          <w:lang w:val="en-US" w:eastAsia="zh-CN" w:bidi="ar"/>
        </w:rPr>
        <w:t>&gt;75</w:t>
      </w:r>
      <w:r>
        <w:rPr>
          <w:rFonts w:hint="default" w:ascii="Times New Roman" w:hAnsi="Times New Roman" w:eastAsia="仿宋_GB2312" w:cs="Times New Roman"/>
          <w:color w:val="auto"/>
          <w:kern w:val="0"/>
          <w:sz w:val="32"/>
          <w:szCs w:val="32"/>
          <w:lang w:val="en-US" w:eastAsia="zh-CN" w:bidi="ar"/>
        </w:rPr>
        <w:t xml:space="preserve">，生态环境状况等级为优，荣获“空气质量二级达标县”、“省级生态示范县”等称号。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城乡面貌有品有味。</w:t>
      </w:r>
      <w:r>
        <w:rPr>
          <w:rFonts w:hint="default" w:ascii="Times New Roman" w:hAnsi="Times New Roman" w:eastAsia="仿宋_GB2312" w:cs="Times New Roman"/>
          <w:color w:val="auto"/>
          <w:kern w:val="0"/>
          <w:sz w:val="32"/>
          <w:szCs w:val="32"/>
          <w:lang w:val="en-US" w:eastAsia="zh-CN" w:bidi="ar"/>
        </w:rPr>
        <w:t>立足洛阳南部生态涵养区定位，以</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百城建设提质</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和文明城市创建为引领，统筹做好规划、建设、管理</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三篇文章</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。《嵩县城乡总体规划（</w:t>
      </w:r>
      <w:r>
        <w:rPr>
          <w:rFonts w:hint="default" w:ascii="Times New Roman" w:hAnsi="Times New Roman" w:eastAsia="宋体" w:cs="Times New Roman"/>
          <w:color w:val="auto"/>
          <w:kern w:val="0"/>
          <w:sz w:val="32"/>
          <w:szCs w:val="32"/>
          <w:lang w:val="en-US" w:eastAsia="zh-CN" w:bidi="ar"/>
        </w:rPr>
        <w:t>2017—2035</w:t>
      </w:r>
      <w:r>
        <w:rPr>
          <w:rFonts w:hint="default" w:ascii="Times New Roman" w:hAnsi="Times New Roman" w:eastAsia="仿宋_GB2312" w:cs="Times New Roman"/>
          <w:color w:val="auto"/>
          <w:kern w:val="0"/>
          <w:sz w:val="32"/>
          <w:szCs w:val="32"/>
          <w:lang w:val="en-US" w:eastAsia="zh-CN" w:bidi="ar"/>
        </w:rPr>
        <w:t>）暨城市设计》编制完成，控制性详细规划实现城市建设开发区全覆盖，城市基础设施和公共服务设施专项规划体系基本建立，乡镇规划整体推进，村庄布局规划完成，村庄规划实现应编尽编。五年累计实施重点城建项目</w:t>
      </w:r>
      <w:r>
        <w:rPr>
          <w:rFonts w:hint="default" w:ascii="Times New Roman" w:hAnsi="Times New Roman" w:eastAsia="宋体" w:cs="Times New Roman"/>
          <w:color w:val="auto"/>
          <w:kern w:val="0"/>
          <w:sz w:val="32"/>
          <w:szCs w:val="32"/>
          <w:lang w:val="en-US" w:eastAsia="zh-CN" w:bidi="ar"/>
        </w:rPr>
        <w:t>90</w:t>
      </w:r>
      <w:r>
        <w:rPr>
          <w:rFonts w:hint="default" w:ascii="Times New Roman" w:hAnsi="Times New Roman" w:eastAsia="仿宋_GB2312" w:cs="Times New Roman"/>
          <w:color w:val="auto"/>
          <w:kern w:val="0"/>
          <w:sz w:val="32"/>
          <w:szCs w:val="32"/>
          <w:lang w:val="en-US" w:eastAsia="zh-CN" w:bidi="ar"/>
        </w:rPr>
        <w:t>个，新建改建城区道路</w:t>
      </w:r>
      <w:r>
        <w:rPr>
          <w:rFonts w:hint="default" w:ascii="Times New Roman" w:hAnsi="Times New Roman" w:eastAsia="宋体" w:cs="Times New Roman"/>
          <w:color w:val="auto"/>
          <w:kern w:val="0"/>
          <w:sz w:val="32"/>
          <w:szCs w:val="32"/>
          <w:lang w:val="en-US" w:eastAsia="zh-CN" w:bidi="ar"/>
        </w:rPr>
        <w:t>58</w:t>
      </w:r>
      <w:r>
        <w:rPr>
          <w:rFonts w:hint="default" w:ascii="Times New Roman" w:hAnsi="Times New Roman" w:eastAsia="仿宋_GB2312" w:cs="Times New Roman"/>
          <w:color w:val="auto"/>
          <w:kern w:val="0"/>
          <w:sz w:val="32"/>
          <w:szCs w:val="32"/>
          <w:lang w:val="en-US" w:eastAsia="zh-CN" w:bidi="ar"/>
        </w:rPr>
        <w:t>条，建设公园游园</w:t>
      </w:r>
      <w:r>
        <w:rPr>
          <w:rFonts w:hint="default" w:ascii="Times New Roman" w:hAnsi="Times New Roman" w:eastAsia="宋体" w:cs="Times New Roman"/>
          <w:color w:val="auto"/>
          <w:kern w:val="0"/>
          <w:sz w:val="32"/>
          <w:szCs w:val="32"/>
          <w:lang w:val="en-US" w:eastAsia="zh-CN" w:bidi="ar"/>
        </w:rPr>
        <w:t>19</w:t>
      </w:r>
      <w:r>
        <w:rPr>
          <w:rFonts w:hint="default" w:ascii="Times New Roman" w:hAnsi="Times New Roman" w:eastAsia="仿宋_GB2312" w:cs="Times New Roman"/>
          <w:color w:val="auto"/>
          <w:kern w:val="0"/>
          <w:sz w:val="32"/>
          <w:szCs w:val="32"/>
          <w:lang w:val="en-US" w:eastAsia="zh-CN" w:bidi="ar"/>
        </w:rPr>
        <w:t>个，提升改造湖滨公园、嵩州公园，持续打造环城森林生态圈，完成伊河城区段水系治理，县城更美更靓更宜居，顺利通过国家卫生县城、国家园林县城、省级文明县城复核验收。县城建成区面积由</w:t>
      </w:r>
      <w:r>
        <w:rPr>
          <w:rFonts w:hint="default" w:ascii="Times New Roman" w:hAnsi="Times New Roman" w:eastAsia="宋体" w:cs="Times New Roman"/>
          <w:color w:val="auto"/>
          <w:kern w:val="0"/>
          <w:sz w:val="32"/>
          <w:szCs w:val="32"/>
          <w:lang w:val="en-US" w:eastAsia="zh-CN" w:bidi="ar"/>
        </w:rPr>
        <w:t>9</w:t>
      </w:r>
      <w:r>
        <w:rPr>
          <w:rFonts w:hint="default" w:ascii="Times New Roman" w:hAnsi="Times New Roman" w:eastAsia="仿宋_GB2312" w:cs="Times New Roman"/>
          <w:color w:val="auto"/>
          <w:kern w:val="0"/>
          <w:sz w:val="32"/>
          <w:szCs w:val="32"/>
          <w:lang w:val="en-US" w:eastAsia="zh-CN" w:bidi="ar"/>
        </w:rPr>
        <w:t>平方公里扩展到</w:t>
      </w:r>
      <w:r>
        <w:rPr>
          <w:rFonts w:hint="default" w:ascii="Times New Roman" w:hAnsi="Times New Roman" w:eastAsia="宋体" w:cs="Times New Roman"/>
          <w:color w:val="auto"/>
          <w:kern w:val="0"/>
          <w:sz w:val="32"/>
          <w:szCs w:val="32"/>
          <w:lang w:val="en-US" w:eastAsia="zh-CN" w:bidi="ar"/>
        </w:rPr>
        <w:t>13.6</w:t>
      </w:r>
      <w:r>
        <w:rPr>
          <w:rFonts w:hint="default" w:ascii="Times New Roman" w:hAnsi="Times New Roman" w:eastAsia="仿宋_GB2312" w:cs="Times New Roman"/>
          <w:color w:val="auto"/>
          <w:kern w:val="0"/>
          <w:sz w:val="32"/>
          <w:szCs w:val="32"/>
          <w:lang w:val="en-US" w:eastAsia="zh-CN" w:bidi="ar"/>
        </w:rPr>
        <w:t>平方公里，城镇人口由</w:t>
      </w:r>
      <w:r>
        <w:rPr>
          <w:rFonts w:hint="default" w:ascii="Times New Roman" w:hAnsi="Times New Roman" w:eastAsia="宋体"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val="en-US" w:eastAsia="zh-CN" w:bidi="ar"/>
        </w:rPr>
        <w:t>万人增长到</w:t>
      </w:r>
      <w:r>
        <w:rPr>
          <w:rFonts w:hint="default" w:ascii="Times New Roman" w:hAnsi="Times New Roman" w:eastAsia="宋体" w:cs="Times New Roman"/>
          <w:color w:val="auto"/>
          <w:kern w:val="0"/>
          <w:sz w:val="32"/>
          <w:szCs w:val="32"/>
          <w:lang w:val="en-US" w:eastAsia="zh-CN" w:bidi="ar"/>
        </w:rPr>
        <w:t>18</w:t>
      </w:r>
      <w:r>
        <w:rPr>
          <w:rFonts w:hint="default" w:ascii="Times New Roman" w:hAnsi="Times New Roman" w:eastAsia="仿宋_GB2312" w:cs="Times New Roman"/>
          <w:color w:val="auto"/>
          <w:kern w:val="0"/>
          <w:sz w:val="32"/>
          <w:szCs w:val="32"/>
          <w:lang w:val="en-US" w:eastAsia="zh-CN" w:bidi="ar"/>
        </w:rPr>
        <w:t>万人，常住人口城镇化率达</w:t>
      </w:r>
      <w:r>
        <w:rPr>
          <w:rFonts w:hint="default" w:ascii="Times New Roman" w:hAnsi="Times New Roman" w:eastAsia="宋体" w:cs="Times New Roman"/>
          <w:color w:val="auto"/>
          <w:kern w:val="0"/>
          <w:sz w:val="32"/>
          <w:szCs w:val="32"/>
          <w:lang w:val="en-US" w:eastAsia="zh-CN" w:bidi="ar"/>
        </w:rPr>
        <w:t>40%</w:t>
      </w:r>
      <w:r>
        <w:rPr>
          <w:rFonts w:hint="default" w:ascii="Times New Roman" w:hAnsi="Times New Roman" w:eastAsia="仿宋_GB2312" w:cs="Times New Roman"/>
          <w:color w:val="auto"/>
          <w:kern w:val="0"/>
          <w:sz w:val="32"/>
          <w:szCs w:val="32"/>
          <w:lang w:val="en-US" w:eastAsia="zh-CN" w:bidi="ar"/>
        </w:rPr>
        <w:t>，提高了</w:t>
      </w:r>
      <w:r>
        <w:rPr>
          <w:rFonts w:hint="default" w:ascii="Times New Roman" w:hAnsi="Times New Roman" w:eastAsia="宋体" w:cs="Times New Roman"/>
          <w:color w:val="auto"/>
          <w:kern w:val="0"/>
          <w:sz w:val="32"/>
          <w:szCs w:val="32"/>
          <w:lang w:val="en-US" w:eastAsia="zh-CN" w:bidi="ar"/>
        </w:rPr>
        <w:t>9</w:t>
      </w:r>
      <w:r>
        <w:rPr>
          <w:rFonts w:hint="default" w:ascii="Times New Roman" w:hAnsi="Times New Roman" w:eastAsia="仿宋_GB2312" w:cs="Times New Roman"/>
          <w:color w:val="auto"/>
          <w:kern w:val="0"/>
          <w:sz w:val="32"/>
          <w:szCs w:val="32"/>
          <w:lang w:val="en-US" w:eastAsia="zh-CN" w:bidi="ar"/>
        </w:rPr>
        <w:t>个百分点。全县建成</w:t>
      </w:r>
      <w:r>
        <w:rPr>
          <w:rFonts w:hint="default" w:ascii="Times New Roman" w:hAnsi="Times New Roman" w:eastAsia="宋体"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val="en-US" w:eastAsia="zh-CN" w:bidi="ar"/>
        </w:rPr>
        <w:t>个乡村旅游特色村，打造市级沟域经济带</w:t>
      </w:r>
      <w:r>
        <w:rPr>
          <w:rFonts w:hint="default" w:ascii="Times New Roman" w:hAnsi="Times New Roman" w:eastAsia="宋体"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条，面貌一新的饭坡镇沙坡村、德亭镇大王沟村等，成为</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近者悦远者来</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的</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网红打卡地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，德亭镇入选</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河南省乡村振兴示范镇</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，车村镇、德亭镇、白河镇、大章镇、何村乡</w:t>
      </w:r>
      <w:r>
        <w:rPr>
          <w:rFonts w:hint="default" w:ascii="Times New Roman" w:hAnsi="Times New Roman" w:eastAsia="宋体"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个乡镇成功创建国家卫生乡镇。全县公路密度达到每百平方公里105公里，通车里程达到3179公里，较五年前分别增长32.9%、33.9%。尧栾高速建成通车，全县高速公路总里程由65公里增加到 105公里。实施农村公路</w:t>
      </w:r>
      <w:r>
        <w:rPr>
          <w:rFonts w:hint="default" w:ascii="Times New Roman" w:hAnsi="Times New Roman" w:eastAsia="宋体" w:cs="Times New Roman"/>
          <w:color w:val="auto"/>
          <w:kern w:val="0"/>
          <w:sz w:val="32"/>
          <w:szCs w:val="32"/>
          <w:lang w:val="en-US" w:eastAsia="zh-CN" w:bidi="ar"/>
        </w:rPr>
        <w:t>1280</w:t>
      </w:r>
      <w:r>
        <w:rPr>
          <w:rFonts w:hint="default" w:ascii="Times New Roman" w:hAnsi="Times New Roman" w:eastAsia="仿宋_GB2312" w:cs="Times New Roman"/>
          <w:color w:val="auto"/>
          <w:kern w:val="0"/>
          <w:sz w:val="32"/>
          <w:szCs w:val="32"/>
          <w:lang w:val="en-US" w:eastAsia="zh-CN" w:bidi="ar"/>
        </w:rPr>
        <w:t>公里。全县</w:t>
      </w:r>
      <w:r>
        <w:rPr>
          <w:rFonts w:hint="default" w:ascii="Times New Roman" w:hAnsi="Times New Roman" w:eastAsia="宋体" w:cs="Times New Roman"/>
          <w:color w:val="auto"/>
          <w:kern w:val="0"/>
          <w:sz w:val="32"/>
          <w:szCs w:val="32"/>
          <w:lang w:val="en-US" w:eastAsia="zh-CN" w:bidi="ar"/>
        </w:rPr>
        <w:t>310</w:t>
      </w:r>
      <w:r>
        <w:rPr>
          <w:rFonts w:hint="default" w:ascii="Times New Roman" w:hAnsi="Times New Roman" w:eastAsia="仿宋_GB2312" w:cs="Times New Roman"/>
          <w:color w:val="auto"/>
          <w:kern w:val="0"/>
          <w:sz w:val="32"/>
          <w:szCs w:val="32"/>
          <w:lang w:val="en-US" w:eastAsia="zh-CN" w:bidi="ar"/>
        </w:rPr>
        <w:t xml:space="preserve">个行政村通硬化路率和通客车率均达到 </w:t>
      </w:r>
      <w:r>
        <w:rPr>
          <w:rFonts w:hint="default" w:ascii="Times New Roman" w:hAnsi="Times New Roman" w:eastAsia="宋体"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。实施农村入组道路项目</w:t>
      </w:r>
      <w:r>
        <w:rPr>
          <w:rFonts w:hint="default" w:ascii="Times New Roman" w:hAnsi="Times New Roman" w:eastAsia="宋体" w:cs="Times New Roman"/>
          <w:color w:val="auto"/>
          <w:kern w:val="0"/>
          <w:sz w:val="32"/>
          <w:szCs w:val="32"/>
          <w:lang w:val="en-US" w:eastAsia="zh-CN" w:bidi="ar"/>
        </w:rPr>
        <w:t>1000</w:t>
      </w:r>
      <w:r>
        <w:rPr>
          <w:rFonts w:hint="default" w:ascii="Times New Roman" w:hAnsi="Times New Roman" w:eastAsia="仿宋_GB2312" w:cs="Times New Roman"/>
          <w:color w:val="auto"/>
          <w:kern w:val="0"/>
          <w:sz w:val="32"/>
          <w:szCs w:val="32"/>
          <w:lang w:val="en-US" w:eastAsia="zh-CN" w:bidi="ar"/>
        </w:rPr>
        <w:t>余公里。全省交通运输脱贫攻坚暨万村通客车提质工程推进会在嵩县召开，嵩县被评为</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河南省万村通客车提质工程示范县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营商环境持续优化。</w:t>
      </w:r>
      <w:r>
        <w:rPr>
          <w:rFonts w:hint="default" w:ascii="Times New Roman" w:hAnsi="Times New Roman" w:eastAsia="仿宋_GB2312" w:cs="Times New Roman"/>
          <w:color w:val="auto"/>
          <w:kern w:val="0"/>
          <w:sz w:val="32"/>
          <w:szCs w:val="32"/>
          <w:lang w:val="en-US" w:eastAsia="zh-CN" w:bidi="ar"/>
        </w:rPr>
        <w:t>以“最多跑一次”为牵引的营商环境改革持续深化，全县政务环境、商务环境、市场环境、法治环境、人文环境持续改善，“亲”“清”和谐的政商关系逐步形成，全面落实减税降负政策，民营企业年均减免税收超过</w:t>
      </w:r>
      <w:r>
        <w:rPr>
          <w:rFonts w:hint="default" w:ascii="Times New Roman" w:hAnsi="Times New Roman" w:eastAsia="宋体"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亿元。加强银企对接，金融机构存款余额</w:t>
      </w:r>
      <w:r>
        <w:rPr>
          <w:rFonts w:hint="default" w:ascii="Times New Roman" w:hAnsi="Times New Roman" w:eastAsia="宋体" w:cs="Times New Roman"/>
          <w:color w:val="auto"/>
          <w:kern w:val="0"/>
          <w:sz w:val="32"/>
          <w:szCs w:val="32"/>
          <w:lang w:val="en-US" w:eastAsia="zh-CN" w:bidi="ar"/>
        </w:rPr>
        <w:t>183</w:t>
      </w:r>
      <w:r>
        <w:rPr>
          <w:rFonts w:hint="default" w:ascii="Times New Roman" w:hAnsi="Times New Roman" w:eastAsia="仿宋_GB2312" w:cs="Times New Roman"/>
          <w:color w:val="auto"/>
          <w:kern w:val="0"/>
          <w:sz w:val="32"/>
          <w:szCs w:val="32"/>
          <w:lang w:val="en-US" w:eastAsia="zh-CN" w:bidi="ar"/>
        </w:rPr>
        <w:t>亿元，全县各类市场主体达到</w:t>
      </w:r>
      <w:r>
        <w:rPr>
          <w:rFonts w:hint="default" w:ascii="Times New Roman" w:hAnsi="Times New Roman" w:eastAsia="宋体" w:cs="Times New Roman"/>
          <w:color w:val="auto"/>
          <w:kern w:val="0"/>
          <w:sz w:val="32"/>
          <w:szCs w:val="32"/>
          <w:lang w:val="en-US" w:eastAsia="zh-CN" w:bidi="ar"/>
        </w:rPr>
        <w:t>3.6</w:t>
      </w:r>
      <w:r>
        <w:rPr>
          <w:rFonts w:hint="default" w:ascii="Times New Roman" w:hAnsi="Times New Roman" w:eastAsia="仿宋_GB2312" w:cs="Times New Roman"/>
          <w:color w:val="auto"/>
          <w:kern w:val="0"/>
          <w:sz w:val="32"/>
          <w:szCs w:val="32"/>
          <w:lang w:val="en-US" w:eastAsia="zh-CN" w:bidi="ar"/>
        </w:rPr>
        <w:t>万户。外来投资热情高涨，外向型经济发展层次和水平有较大提升。新春都生物制药、英唐电气、万象轴承、拓图工贸等一大批科技含量高、市场前景好、带动能力强的</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四力型</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项目集中落户田湖产业集聚区，全省标准最高的奶山羊牧场羊妙妙落户嵩县。创新创业洼地优势显现，各类研发服务平台载体</w:t>
      </w:r>
      <w:r>
        <w:rPr>
          <w:rFonts w:hint="default" w:ascii="Times New Roman" w:hAnsi="Times New Roman" w:eastAsia="宋体" w:cs="Times New Roman"/>
          <w:color w:val="auto"/>
          <w:kern w:val="0"/>
          <w:sz w:val="32"/>
          <w:szCs w:val="32"/>
          <w:lang w:val="en-US" w:eastAsia="zh-CN" w:bidi="ar"/>
        </w:rPr>
        <w:t>70</w:t>
      </w:r>
      <w:r>
        <w:rPr>
          <w:rFonts w:hint="default" w:ascii="Times New Roman" w:hAnsi="Times New Roman" w:eastAsia="仿宋_GB2312" w:cs="Times New Roman"/>
          <w:color w:val="auto"/>
          <w:kern w:val="0"/>
          <w:sz w:val="32"/>
          <w:szCs w:val="32"/>
          <w:lang w:val="en-US" w:eastAsia="zh-CN" w:bidi="ar"/>
        </w:rPr>
        <w:t>多个，各类研发中心</w:t>
      </w:r>
      <w:r>
        <w:rPr>
          <w:rFonts w:hint="default" w:ascii="Times New Roman" w:hAnsi="Times New Roman" w:eastAsia="宋体" w:cs="Times New Roman"/>
          <w:color w:val="auto"/>
          <w:kern w:val="0"/>
          <w:sz w:val="32"/>
          <w:szCs w:val="32"/>
          <w:lang w:val="en-US" w:eastAsia="zh-CN" w:bidi="ar"/>
        </w:rPr>
        <w:t>46</w:t>
      </w:r>
      <w:r>
        <w:rPr>
          <w:rFonts w:hint="default" w:ascii="Times New Roman" w:hAnsi="Times New Roman" w:eastAsia="仿宋_GB2312" w:cs="Times New Roman"/>
          <w:color w:val="auto"/>
          <w:kern w:val="0"/>
          <w:sz w:val="32"/>
          <w:szCs w:val="32"/>
          <w:lang w:val="en-US" w:eastAsia="zh-CN" w:bidi="ar"/>
        </w:rPr>
        <w:t>个，星创天地</w:t>
      </w:r>
      <w:r>
        <w:rPr>
          <w:rFonts w:hint="default" w:ascii="Times New Roman" w:hAnsi="Times New Roman" w:eastAsia="宋体"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个，备案科技型企业</w:t>
      </w:r>
      <w:r>
        <w:rPr>
          <w:rFonts w:hint="default" w:ascii="Times New Roman" w:hAnsi="Times New Roman" w:eastAsia="宋体" w:cs="Times New Roman"/>
          <w:color w:val="auto"/>
          <w:kern w:val="0"/>
          <w:sz w:val="32"/>
          <w:szCs w:val="32"/>
          <w:lang w:val="en-US" w:eastAsia="zh-CN" w:bidi="ar"/>
        </w:rPr>
        <w:t>41</w:t>
      </w:r>
      <w:r>
        <w:rPr>
          <w:rFonts w:hint="default" w:ascii="Times New Roman" w:hAnsi="Times New Roman" w:eastAsia="仿宋_GB2312" w:cs="Times New Roman"/>
          <w:color w:val="auto"/>
          <w:kern w:val="0"/>
          <w:sz w:val="32"/>
          <w:szCs w:val="32"/>
          <w:lang w:val="en-US" w:eastAsia="zh-CN" w:bidi="ar"/>
        </w:rPr>
        <w:t xml:space="preserve">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惠民举措深入人心。</w:t>
      </w:r>
      <w:r>
        <w:rPr>
          <w:rFonts w:hint="default" w:ascii="Times New Roman" w:hAnsi="Times New Roman" w:eastAsia="仿宋_GB2312" w:cs="Times New Roman"/>
          <w:color w:val="auto"/>
          <w:kern w:val="0"/>
          <w:sz w:val="32"/>
          <w:szCs w:val="32"/>
          <w:lang w:val="en-US" w:eastAsia="zh-CN" w:bidi="ar"/>
        </w:rPr>
        <w:t>围绕教育、医疗、就业等民生重点和关键领域兜底线、补短板、强弱项、提效能。公共财力大幅度向民生倾斜，民生支出占一般公共预算支出的</w:t>
      </w:r>
      <w:r>
        <w:rPr>
          <w:rFonts w:hint="default" w:ascii="Times New Roman" w:hAnsi="Times New Roman" w:eastAsia="宋体" w:cs="Times New Roman"/>
          <w:color w:val="auto"/>
          <w:kern w:val="0"/>
          <w:sz w:val="32"/>
          <w:szCs w:val="32"/>
          <w:lang w:val="en-US" w:eastAsia="zh-CN" w:bidi="ar"/>
        </w:rPr>
        <w:t>85%</w:t>
      </w:r>
      <w:r>
        <w:rPr>
          <w:rFonts w:hint="default" w:ascii="Times New Roman" w:hAnsi="Times New Roman" w:eastAsia="仿宋_GB2312" w:cs="Times New Roman"/>
          <w:color w:val="auto"/>
          <w:kern w:val="0"/>
          <w:sz w:val="32"/>
          <w:szCs w:val="32"/>
          <w:lang w:val="en-US" w:eastAsia="zh-CN" w:bidi="ar"/>
        </w:rPr>
        <w:t>以上。完成危房改造</w:t>
      </w:r>
      <w:r>
        <w:rPr>
          <w:rFonts w:hint="default" w:ascii="Times New Roman" w:hAnsi="Times New Roman" w:eastAsia="宋体" w:cs="Times New Roman"/>
          <w:color w:val="auto"/>
          <w:kern w:val="0"/>
          <w:sz w:val="32"/>
          <w:szCs w:val="32"/>
          <w:lang w:val="en-US" w:eastAsia="zh-CN" w:bidi="ar"/>
        </w:rPr>
        <w:t>9450</w:t>
      </w:r>
      <w:r>
        <w:rPr>
          <w:rFonts w:hint="default" w:ascii="Times New Roman" w:hAnsi="Times New Roman" w:eastAsia="仿宋_GB2312" w:cs="Times New Roman"/>
          <w:color w:val="auto"/>
          <w:kern w:val="0"/>
          <w:sz w:val="32"/>
          <w:szCs w:val="32"/>
          <w:lang w:val="en-US" w:eastAsia="zh-CN" w:bidi="ar"/>
        </w:rPr>
        <w:t>户，实现农村危房动态清零。农村饮水集中供水工程覆盖</w:t>
      </w:r>
      <w:r>
        <w:rPr>
          <w:rFonts w:hint="default" w:ascii="Times New Roman" w:hAnsi="Times New Roman" w:eastAsia="宋体" w:cs="Times New Roman"/>
          <w:color w:val="auto"/>
          <w:kern w:val="0"/>
          <w:sz w:val="32"/>
          <w:szCs w:val="32"/>
          <w:lang w:val="en-US" w:eastAsia="zh-CN" w:bidi="ar"/>
        </w:rPr>
        <w:t>304</w:t>
      </w:r>
      <w:r>
        <w:rPr>
          <w:rFonts w:hint="default" w:ascii="Times New Roman" w:hAnsi="Times New Roman" w:eastAsia="仿宋_GB2312" w:cs="Times New Roman"/>
          <w:color w:val="auto"/>
          <w:kern w:val="0"/>
          <w:sz w:val="32"/>
          <w:szCs w:val="32"/>
          <w:lang w:val="en-US" w:eastAsia="zh-CN" w:bidi="ar"/>
        </w:rPr>
        <w:t>个村，覆盖率</w:t>
      </w:r>
      <w:r>
        <w:rPr>
          <w:rFonts w:hint="default" w:ascii="Times New Roman" w:hAnsi="Times New Roman" w:eastAsia="宋体" w:cs="Times New Roman"/>
          <w:color w:val="auto"/>
          <w:kern w:val="0"/>
          <w:sz w:val="32"/>
          <w:szCs w:val="32"/>
          <w:lang w:val="en-US" w:eastAsia="zh-CN" w:bidi="ar"/>
        </w:rPr>
        <w:t>98%</w:t>
      </w:r>
      <w:r>
        <w:rPr>
          <w:rFonts w:hint="default" w:ascii="Times New Roman" w:hAnsi="Times New Roman" w:eastAsia="仿宋_GB2312" w:cs="Times New Roman"/>
          <w:color w:val="auto"/>
          <w:kern w:val="0"/>
          <w:sz w:val="32"/>
          <w:szCs w:val="32"/>
          <w:lang w:val="en-US" w:eastAsia="zh-CN" w:bidi="ar"/>
        </w:rPr>
        <w:t>，安全饮水达标率</w:t>
      </w:r>
      <w:r>
        <w:rPr>
          <w:rFonts w:hint="default" w:ascii="Times New Roman" w:hAnsi="Times New Roman" w:eastAsia="宋体"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。全县义务教育均等化、标准化建设全面推进，新建学校</w:t>
      </w:r>
      <w:r>
        <w:rPr>
          <w:rFonts w:hint="default" w:ascii="Times New Roman" w:hAnsi="Times New Roman" w:eastAsia="宋体" w:cs="Times New Roman"/>
          <w:color w:val="auto"/>
          <w:kern w:val="0"/>
          <w:sz w:val="32"/>
          <w:szCs w:val="32"/>
          <w:lang w:val="en-US" w:eastAsia="zh-CN" w:bidi="ar"/>
        </w:rPr>
        <w:t>24</w:t>
      </w:r>
      <w:r>
        <w:rPr>
          <w:rFonts w:hint="default" w:ascii="Times New Roman" w:hAnsi="Times New Roman" w:eastAsia="仿宋_GB2312" w:cs="Times New Roman"/>
          <w:color w:val="auto"/>
          <w:kern w:val="0"/>
          <w:sz w:val="32"/>
          <w:szCs w:val="32"/>
          <w:lang w:val="en-US" w:eastAsia="zh-CN" w:bidi="ar"/>
        </w:rPr>
        <w:t>所，提升改造乡村学校</w:t>
      </w:r>
      <w:r>
        <w:rPr>
          <w:rFonts w:hint="default" w:ascii="Times New Roman" w:hAnsi="Times New Roman" w:eastAsia="宋体" w:cs="Times New Roman"/>
          <w:color w:val="auto"/>
          <w:kern w:val="0"/>
          <w:sz w:val="32"/>
          <w:szCs w:val="32"/>
          <w:lang w:val="en-US" w:eastAsia="zh-CN" w:bidi="ar"/>
        </w:rPr>
        <w:t>133</w:t>
      </w:r>
      <w:r>
        <w:rPr>
          <w:rFonts w:hint="default" w:ascii="Times New Roman" w:hAnsi="Times New Roman" w:eastAsia="仿宋_GB2312" w:cs="Times New Roman"/>
          <w:color w:val="auto"/>
          <w:kern w:val="0"/>
          <w:sz w:val="32"/>
          <w:szCs w:val="32"/>
          <w:lang w:val="en-US" w:eastAsia="zh-CN" w:bidi="ar"/>
        </w:rPr>
        <w:t>所，新增学位</w:t>
      </w:r>
      <w:r>
        <w:rPr>
          <w:rFonts w:hint="default" w:ascii="Times New Roman" w:hAnsi="Times New Roman" w:eastAsia="宋体"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万个，教育扶贫发放资助资金</w:t>
      </w:r>
      <w:r>
        <w:rPr>
          <w:rFonts w:hint="default" w:ascii="Times New Roman" w:hAnsi="Times New Roman" w:eastAsia="宋体" w:cs="Times New Roman"/>
          <w:color w:val="auto"/>
          <w:kern w:val="0"/>
          <w:sz w:val="32"/>
          <w:szCs w:val="32"/>
          <w:lang w:val="en-US" w:eastAsia="zh-CN" w:bidi="ar"/>
        </w:rPr>
        <w:t>1.41</w:t>
      </w:r>
      <w:r>
        <w:rPr>
          <w:rFonts w:hint="default" w:ascii="Times New Roman" w:hAnsi="Times New Roman" w:eastAsia="仿宋_GB2312" w:cs="Times New Roman"/>
          <w:color w:val="auto"/>
          <w:kern w:val="0"/>
          <w:sz w:val="32"/>
          <w:szCs w:val="32"/>
          <w:lang w:val="en-US" w:eastAsia="zh-CN" w:bidi="ar"/>
        </w:rPr>
        <w:t>亿余元，惠及学生</w:t>
      </w:r>
      <w:r>
        <w:rPr>
          <w:rFonts w:hint="default" w:ascii="Times New Roman" w:hAnsi="Times New Roman" w:eastAsia="宋体" w:cs="Times New Roman"/>
          <w:color w:val="auto"/>
          <w:kern w:val="0"/>
          <w:sz w:val="32"/>
          <w:szCs w:val="32"/>
          <w:lang w:val="en-US" w:eastAsia="zh-CN" w:bidi="ar"/>
        </w:rPr>
        <w:t>22.4</w:t>
      </w:r>
      <w:r>
        <w:rPr>
          <w:rFonts w:hint="default" w:ascii="Times New Roman" w:hAnsi="Times New Roman" w:eastAsia="仿宋_GB2312" w:cs="Times New Roman"/>
          <w:color w:val="auto"/>
          <w:kern w:val="0"/>
          <w:sz w:val="32"/>
          <w:szCs w:val="32"/>
          <w:lang w:val="en-US" w:eastAsia="zh-CN" w:bidi="ar"/>
        </w:rPr>
        <w:t>万人次，全县义务教育入学率</w:t>
      </w:r>
      <w:r>
        <w:rPr>
          <w:rFonts w:hint="default" w:ascii="Times New Roman" w:hAnsi="Times New Roman" w:eastAsia="宋体"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，义务教育发展基本均衡县顺利通过国家复检。累计完成城镇新增就业</w:t>
      </w:r>
      <w:r>
        <w:rPr>
          <w:rFonts w:hint="default" w:ascii="Times New Roman" w:hAnsi="Times New Roman" w:eastAsia="宋体" w:cs="Times New Roman"/>
          <w:color w:val="auto"/>
          <w:kern w:val="0"/>
          <w:sz w:val="32"/>
          <w:szCs w:val="32"/>
          <w:lang w:val="en-US" w:eastAsia="zh-CN" w:bidi="ar"/>
        </w:rPr>
        <w:t>2.8</w:t>
      </w:r>
      <w:r>
        <w:rPr>
          <w:rFonts w:hint="default" w:ascii="Times New Roman" w:hAnsi="Times New Roman" w:eastAsia="仿宋_GB2312" w:cs="Times New Roman"/>
          <w:color w:val="auto"/>
          <w:kern w:val="0"/>
          <w:sz w:val="32"/>
          <w:szCs w:val="32"/>
          <w:lang w:val="en-US" w:eastAsia="zh-CN" w:bidi="ar"/>
        </w:rPr>
        <w:t>万人，新增农村劳动力就业</w:t>
      </w:r>
      <w:r>
        <w:rPr>
          <w:rFonts w:hint="default" w:ascii="Times New Roman" w:hAnsi="Times New Roman" w:eastAsia="宋体" w:cs="Times New Roman"/>
          <w:color w:val="auto"/>
          <w:kern w:val="0"/>
          <w:sz w:val="32"/>
          <w:szCs w:val="32"/>
          <w:lang w:val="en-US" w:eastAsia="zh-CN" w:bidi="ar"/>
        </w:rPr>
        <w:t>1.9</w:t>
      </w:r>
      <w:r>
        <w:rPr>
          <w:rFonts w:hint="default" w:ascii="Times New Roman" w:hAnsi="Times New Roman" w:eastAsia="仿宋_GB2312" w:cs="Times New Roman"/>
          <w:color w:val="auto"/>
          <w:kern w:val="0"/>
          <w:sz w:val="32"/>
          <w:szCs w:val="32"/>
          <w:lang w:val="en-US" w:eastAsia="zh-CN" w:bidi="ar"/>
        </w:rPr>
        <w:t>万人，各类技能培训</w:t>
      </w:r>
      <w:r>
        <w:rPr>
          <w:rFonts w:hint="default" w:ascii="Times New Roman" w:hAnsi="Times New Roman" w:eastAsia="宋体" w:cs="Times New Roman"/>
          <w:color w:val="auto"/>
          <w:kern w:val="0"/>
          <w:sz w:val="32"/>
          <w:szCs w:val="32"/>
          <w:lang w:val="en-US" w:eastAsia="zh-CN" w:bidi="ar"/>
        </w:rPr>
        <w:t>7.9</w:t>
      </w:r>
      <w:r>
        <w:rPr>
          <w:rFonts w:hint="default" w:ascii="Times New Roman" w:hAnsi="Times New Roman" w:eastAsia="仿宋_GB2312" w:cs="Times New Roman"/>
          <w:color w:val="auto"/>
          <w:kern w:val="0"/>
          <w:sz w:val="32"/>
          <w:szCs w:val="32"/>
          <w:lang w:val="en-US" w:eastAsia="zh-CN" w:bidi="ar"/>
        </w:rPr>
        <w:t>万人。建成</w:t>
      </w:r>
      <w:r>
        <w:rPr>
          <w:rFonts w:hint="default" w:ascii="Times New Roman" w:hAnsi="Times New Roman" w:eastAsia="宋体"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个县级、</w:t>
      </w:r>
      <w:r>
        <w:rPr>
          <w:rFonts w:hint="default" w:ascii="Times New Roman" w:hAnsi="Times New Roman" w:eastAsia="宋体" w:cs="Times New Roman"/>
          <w:color w:val="auto"/>
          <w:kern w:val="0"/>
          <w:sz w:val="32"/>
          <w:szCs w:val="32"/>
          <w:lang w:val="en-US" w:eastAsia="zh-CN" w:bidi="ar"/>
        </w:rPr>
        <w:t>16</w:t>
      </w:r>
      <w:r>
        <w:rPr>
          <w:rFonts w:hint="default" w:ascii="Times New Roman" w:hAnsi="Times New Roman" w:eastAsia="仿宋_GB2312" w:cs="Times New Roman"/>
          <w:color w:val="auto"/>
          <w:kern w:val="0"/>
          <w:sz w:val="32"/>
          <w:szCs w:val="32"/>
          <w:lang w:val="en-US" w:eastAsia="zh-CN" w:bidi="ar"/>
        </w:rPr>
        <w:t>个乡级就业和社会保障服务平台、</w:t>
      </w:r>
      <w:r>
        <w:rPr>
          <w:rFonts w:hint="default" w:ascii="Times New Roman" w:hAnsi="Times New Roman" w:eastAsia="宋体" w:cs="Times New Roman"/>
          <w:color w:val="auto"/>
          <w:kern w:val="0"/>
          <w:sz w:val="32"/>
          <w:szCs w:val="32"/>
          <w:lang w:val="en-US" w:eastAsia="zh-CN" w:bidi="ar"/>
        </w:rPr>
        <w:t>320</w:t>
      </w:r>
      <w:r>
        <w:rPr>
          <w:rFonts w:hint="default" w:ascii="Times New Roman" w:hAnsi="Times New Roman" w:eastAsia="仿宋_GB2312" w:cs="Times New Roman"/>
          <w:color w:val="auto"/>
          <w:kern w:val="0"/>
          <w:sz w:val="32"/>
          <w:szCs w:val="32"/>
          <w:lang w:val="en-US" w:eastAsia="zh-CN" w:bidi="ar"/>
        </w:rPr>
        <w:t>个村级就业信息服务发布平台，全省就业创业现场会在嵩县召开。县医院、中医院、妇幼保健院全部改扩建；成立以县医院和中医院为龙头的两个县域紧密型医共体，为群众提供更加便捷、优质、高效的卫生健康服务，实现身份证、社保卡、电子健康卡就医</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一卡通办</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。养老、助残、救孤、济困等制度全面落实，颐心居医养服务中心投入运营；建成</w:t>
      </w:r>
      <w:r>
        <w:rPr>
          <w:rFonts w:hint="default" w:ascii="Times New Roman" w:hAnsi="Times New Roman" w:eastAsia="宋体" w:cs="Times New Roman"/>
          <w:color w:val="auto"/>
          <w:kern w:val="0"/>
          <w:sz w:val="32"/>
          <w:szCs w:val="32"/>
          <w:lang w:val="en-US" w:eastAsia="zh-CN" w:bidi="ar"/>
        </w:rPr>
        <w:t>147</w:t>
      </w:r>
      <w:r>
        <w:rPr>
          <w:rFonts w:hint="default" w:ascii="Times New Roman" w:hAnsi="Times New Roman" w:eastAsia="仿宋_GB2312" w:cs="Times New Roman"/>
          <w:color w:val="auto"/>
          <w:kern w:val="0"/>
          <w:sz w:val="32"/>
          <w:szCs w:val="32"/>
          <w:lang w:val="en-US" w:eastAsia="zh-CN" w:bidi="ar"/>
        </w:rPr>
        <w:t>个农村老年幸福院，提升改造</w:t>
      </w:r>
      <w:r>
        <w:rPr>
          <w:rFonts w:hint="default" w:ascii="Times New Roman" w:hAnsi="Times New Roman" w:eastAsia="宋体" w:cs="Times New Roman"/>
          <w:color w:val="auto"/>
          <w:kern w:val="0"/>
          <w:sz w:val="32"/>
          <w:szCs w:val="32"/>
          <w:lang w:val="en-US" w:eastAsia="zh-CN" w:bidi="ar"/>
        </w:rPr>
        <w:t>16</w:t>
      </w:r>
      <w:r>
        <w:rPr>
          <w:rFonts w:hint="default" w:ascii="Times New Roman" w:hAnsi="Times New Roman" w:eastAsia="仿宋_GB2312" w:cs="Times New Roman"/>
          <w:color w:val="auto"/>
          <w:kern w:val="0"/>
          <w:sz w:val="32"/>
          <w:szCs w:val="32"/>
          <w:lang w:val="en-US" w:eastAsia="zh-CN" w:bidi="ar"/>
        </w:rPr>
        <w:t xml:space="preserve">所乡镇敬老院。城市书房、小游园、健康乐道、互联网远程诊疗等民生实事办到了群众心坎上，就业、就医、住房、社保等问题得到逐步解决。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社会治理成效明显</w:t>
      </w:r>
      <w:r>
        <w:rPr>
          <w:rFonts w:hint="default" w:ascii="Times New Roman" w:hAnsi="Times New Roman" w:eastAsia="楷体"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坚持系统治理、依法治理、综合治理、源头治理，全面加强综治基础工作，积极推进平安建设工作，全县社会大局持续稳定。把抓基层打基础作为乡村治理固本之举，建立健全基层管理、治理、服务三大体系，通过完善农村党组织书记教育培训、激励保障、监督考核等管理体系，强化党组织堡垒作用，夯实乡村治理之基。把</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防风险、除隐患、保平安</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作为重大政治任务，推进国有平台公司改革改制，有效防范化解政府债务风险，将风险等级控制在绿色区间，在全省全市取得较好成绩。落实安全生产责任制，加强矿山、危险化学品、消防、道路等领域隐患排查整治。持续加强食品药品安全监管，确保群众“舌尖上的安全”，成功创建省级农产品质量安全县。建立重大突发事件预防处置机制，全面强化立体化社会治安防控体系建设，推进更高水平</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平安嵩县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建设。民政部授予嵩县“全国农村社区治理试验区”“全国农村幸福社区示范县”。嵩县典型经验《聚焦“六个服务”、打造“全域旅游”，提升乡镇政府服务带动乡村发展》，入选民政部公布第二批全国乡镇政府服务能力建设典型经验，为河南省首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总体上看，“十三五”以来，嵩县围绕全面建成小康社会目标，将贯彻中央、省和洛阳市决策部署与立足全县实际相结合，在产业转型、生态建设、全域旅游、脱贫攻坚、改革开放和民生事业等领域取得一系列重大成果，全面建成小康社会取得决定性胜利，为嵩县开启全面建设社会主义现代化新征程，向第二个百年奋斗目标奋进，打下了坚实基础。 </w:t>
      </w:r>
    </w:p>
    <w:tbl>
      <w:tblPr>
        <w:tblStyle w:val="5"/>
        <w:tblpPr w:leftFromText="180" w:rightFromText="180" w:vertAnchor="text" w:horzAnchor="page" w:tblpXSpec="center" w:tblpY="618"/>
        <w:tblOverlap w:val="never"/>
        <w:tblW w:w="9300" w:type="dxa"/>
        <w:jc w:val="center"/>
        <w:tblLayout w:type="fixed"/>
        <w:tblCellMar>
          <w:top w:w="0" w:type="dxa"/>
          <w:left w:w="0" w:type="dxa"/>
          <w:bottom w:w="0" w:type="dxa"/>
          <w:right w:w="0" w:type="dxa"/>
        </w:tblCellMar>
      </w:tblPr>
      <w:tblGrid>
        <w:gridCol w:w="742"/>
        <w:gridCol w:w="795"/>
        <w:gridCol w:w="1071"/>
        <w:gridCol w:w="782"/>
        <w:gridCol w:w="872"/>
        <w:gridCol w:w="1054"/>
        <w:gridCol w:w="1159"/>
        <w:gridCol w:w="1009"/>
        <w:gridCol w:w="842"/>
        <w:gridCol w:w="974"/>
      </w:tblGrid>
      <w:tr>
        <w:tblPrEx>
          <w:tblCellMar>
            <w:top w:w="0" w:type="dxa"/>
            <w:left w:w="0" w:type="dxa"/>
            <w:bottom w:w="0" w:type="dxa"/>
            <w:right w:w="0" w:type="dxa"/>
          </w:tblCellMar>
        </w:tblPrEx>
        <w:trPr>
          <w:trHeight w:val="571" w:hRule="atLeast"/>
          <w:jc w:val="center"/>
        </w:trPr>
        <w:tc>
          <w:tcPr>
            <w:tcW w:w="9300" w:type="dxa"/>
            <w:gridSpan w:val="10"/>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80" w:lineRule="exact"/>
              <w:ind w:left="0"/>
              <w:jc w:val="center"/>
              <w:textAlignment w:val="center"/>
              <w:rPr>
                <w:rFonts w:hint="default" w:ascii="Times New Roman" w:hAnsi="Times New Roman" w:eastAsia="方正仿宋简体" w:cs="Times New Roman"/>
                <w:b/>
                <w:i w:val="0"/>
                <w:color w:val="auto"/>
                <w:sz w:val="24"/>
                <w:szCs w:val="24"/>
                <w:highlight w:val="none"/>
                <w:u w:val="none"/>
              </w:rPr>
            </w:pPr>
            <w:r>
              <w:rPr>
                <w:rFonts w:hint="default" w:ascii="Times New Roman" w:hAnsi="Times New Roman" w:eastAsia="方正黑体简体" w:cs="Times New Roman"/>
                <w:b w:val="0"/>
                <w:bCs/>
                <w:i w:val="0"/>
                <w:color w:val="auto"/>
                <w:kern w:val="0"/>
                <w:sz w:val="30"/>
                <w:szCs w:val="30"/>
                <w:highlight w:val="none"/>
                <w:u w:val="none"/>
                <w:lang w:val="en-US" w:eastAsia="zh-CN" w:bidi="ar"/>
              </w:rPr>
              <w:t>专栏1  “十三五”期间经济社会主要发展目标</w:t>
            </w:r>
          </w:p>
        </w:tc>
      </w:tr>
      <w:tr>
        <w:tblPrEx>
          <w:tblCellMar>
            <w:top w:w="0" w:type="dxa"/>
            <w:left w:w="0" w:type="dxa"/>
            <w:bottom w:w="0" w:type="dxa"/>
            <w:right w:w="0" w:type="dxa"/>
          </w:tblCellMar>
        </w:tblPrEx>
        <w:trPr>
          <w:trHeight w:val="588"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b/>
                <w:i w:val="0"/>
                <w:color w:val="auto"/>
                <w:sz w:val="24"/>
                <w:szCs w:val="24"/>
                <w:highlight w:val="none"/>
                <w:u w:val="none"/>
              </w:rPr>
            </w:pPr>
          </w:p>
        </w:tc>
        <w:tc>
          <w:tcPr>
            <w:tcW w:w="7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b/>
                <w:i w:val="0"/>
                <w:color w:val="auto"/>
                <w:sz w:val="24"/>
                <w:szCs w:val="24"/>
                <w:highlight w:val="none"/>
                <w:u w:val="none"/>
              </w:rPr>
            </w:pPr>
          </w:p>
        </w:tc>
        <w:tc>
          <w:tcPr>
            <w:tcW w:w="107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b/>
                <w:i w:val="0"/>
                <w:color w:val="auto"/>
                <w:sz w:val="24"/>
                <w:szCs w:val="24"/>
                <w:highlight w:val="none"/>
                <w:u w:val="none"/>
              </w:rPr>
            </w:pPr>
          </w:p>
        </w:tc>
        <w:tc>
          <w:tcPr>
            <w:tcW w:w="78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b/>
                <w:i w:val="0"/>
                <w:color w:val="auto"/>
                <w:sz w:val="24"/>
                <w:szCs w:val="24"/>
                <w:highlight w:val="none"/>
                <w:u w:val="none"/>
              </w:rPr>
            </w:pPr>
          </w:p>
        </w:tc>
        <w:tc>
          <w:tcPr>
            <w:tcW w:w="872" w:type="dxa"/>
            <w:tcBorders>
              <w:top w:val="single" w:color="000000" w:sz="8" w:space="0"/>
              <w:left w:val="nil"/>
              <w:bottom w:val="single" w:color="000000" w:sz="8"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b/>
                <w:i w:val="0"/>
                <w:color w:val="auto"/>
                <w:sz w:val="24"/>
                <w:szCs w:val="24"/>
                <w:highlight w:val="none"/>
                <w:u w:val="none"/>
              </w:rPr>
            </w:pPr>
          </w:p>
        </w:tc>
        <w:tc>
          <w:tcPr>
            <w:tcW w:w="22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“十三五”</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规划目标</w:t>
            </w:r>
          </w:p>
        </w:tc>
        <w:tc>
          <w:tcPr>
            <w:tcW w:w="18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“十三五”</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完成情况</w:t>
            </w:r>
          </w:p>
        </w:tc>
        <w:tc>
          <w:tcPr>
            <w:tcW w:w="974" w:type="dxa"/>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b/>
                <w:i w:val="0"/>
                <w:color w:val="auto"/>
                <w:sz w:val="24"/>
                <w:szCs w:val="24"/>
                <w:highlight w:val="none"/>
                <w:u w:val="none"/>
              </w:rPr>
            </w:pPr>
          </w:p>
        </w:tc>
      </w:tr>
      <w:tr>
        <w:tblPrEx>
          <w:tblCellMar>
            <w:top w:w="0" w:type="dxa"/>
            <w:left w:w="0" w:type="dxa"/>
            <w:bottom w:w="0" w:type="dxa"/>
            <w:right w:w="0" w:type="dxa"/>
          </w:tblCellMar>
        </w:tblPrEx>
        <w:trPr>
          <w:trHeight w:val="324" w:hRule="atLeast"/>
          <w:jc w:val="center"/>
        </w:trPr>
        <w:tc>
          <w:tcPr>
            <w:tcW w:w="2608" w:type="dxa"/>
            <w:gridSpan w:val="3"/>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指标名称</w:t>
            </w:r>
          </w:p>
        </w:tc>
        <w:tc>
          <w:tcPr>
            <w:tcW w:w="782"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单位</w:t>
            </w:r>
          </w:p>
        </w:tc>
        <w:tc>
          <w:tcPr>
            <w:tcW w:w="872" w:type="dxa"/>
            <w:vMerge w:val="restart"/>
            <w:tcBorders>
              <w:top w:val="single" w:color="000000" w:sz="8" w:space="0"/>
              <w:left w:val="nil"/>
              <w:bottom w:val="single" w:color="000000" w:sz="8"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2015年 基数</w:t>
            </w:r>
          </w:p>
        </w:tc>
        <w:tc>
          <w:tcPr>
            <w:tcW w:w="10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2020年</w:t>
            </w:r>
          </w:p>
        </w:tc>
        <w:tc>
          <w:tcPr>
            <w:tcW w:w="11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年均增长（%）</w:t>
            </w:r>
          </w:p>
        </w:tc>
        <w:tc>
          <w:tcPr>
            <w:tcW w:w="10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2020年 </w:t>
            </w:r>
          </w:p>
        </w:tc>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年均增长（%）</w:t>
            </w:r>
          </w:p>
        </w:tc>
        <w:tc>
          <w:tcPr>
            <w:tcW w:w="974" w:type="dxa"/>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指标</w:t>
            </w:r>
          </w:p>
        </w:tc>
      </w:tr>
      <w:tr>
        <w:tblPrEx>
          <w:tblCellMar>
            <w:top w:w="0" w:type="dxa"/>
            <w:left w:w="0" w:type="dxa"/>
            <w:bottom w:w="0" w:type="dxa"/>
            <w:right w:w="0" w:type="dxa"/>
          </w:tblCellMar>
        </w:tblPrEx>
        <w:trPr>
          <w:trHeight w:val="324" w:hRule="atLeast"/>
          <w:jc w:val="center"/>
        </w:trPr>
        <w:tc>
          <w:tcPr>
            <w:tcW w:w="2608" w:type="dxa"/>
            <w:gridSpan w:val="3"/>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782"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872" w:type="dxa"/>
            <w:vMerge w:val="continue"/>
            <w:tcBorders>
              <w:top w:val="single" w:color="000000" w:sz="8" w:space="0"/>
              <w:left w:val="nil"/>
              <w:bottom w:val="single" w:color="000000" w:sz="8"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10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属性</w:t>
            </w:r>
          </w:p>
        </w:tc>
      </w:tr>
      <w:tr>
        <w:tblPrEx>
          <w:tblCellMar>
            <w:top w:w="0" w:type="dxa"/>
            <w:left w:w="0" w:type="dxa"/>
            <w:bottom w:w="0" w:type="dxa"/>
            <w:right w:w="0" w:type="dxa"/>
          </w:tblCellMar>
        </w:tblPrEx>
        <w:trPr>
          <w:trHeight w:val="324" w:hRule="atLeast"/>
          <w:jc w:val="center"/>
        </w:trPr>
        <w:tc>
          <w:tcPr>
            <w:tcW w:w="9300" w:type="dxa"/>
            <w:gridSpan w:val="10"/>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b/>
                <w:i w:val="0"/>
                <w:color w:val="auto"/>
                <w:sz w:val="24"/>
                <w:szCs w:val="24"/>
                <w:highlight w:val="none"/>
                <w:u w:val="none"/>
              </w:rPr>
            </w:pPr>
            <w:r>
              <w:rPr>
                <w:rFonts w:hint="default" w:ascii="Times New Roman" w:hAnsi="Times New Roman" w:eastAsia="仿宋_GB2312" w:cs="Times New Roman"/>
                <w:b/>
                <w:i w:val="0"/>
                <w:color w:val="auto"/>
                <w:kern w:val="0"/>
                <w:sz w:val="24"/>
                <w:szCs w:val="24"/>
                <w:highlight w:val="none"/>
                <w:u w:val="none"/>
                <w:lang w:val="en-US" w:eastAsia="zh-CN" w:bidi="ar"/>
              </w:rPr>
              <w:t xml:space="preserve">   一、经济发展</w:t>
            </w:r>
          </w:p>
        </w:tc>
      </w:tr>
      <w:tr>
        <w:tblPrEx>
          <w:tblCellMar>
            <w:top w:w="0" w:type="dxa"/>
            <w:left w:w="0" w:type="dxa"/>
            <w:bottom w:w="0" w:type="dxa"/>
            <w:right w:w="0" w:type="dxa"/>
          </w:tblCellMar>
        </w:tblPrEx>
        <w:trPr>
          <w:trHeight w:val="588"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w:t>
            </w:r>
          </w:p>
        </w:tc>
        <w:tc>
          <w:tcPr>
            <w:tcW w:w="1866"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地区生产总值</w:t>
            </w:r>
          </w:p>
        </w:tc>
        <w:tc>
          <w:tcPr>
            <w:tcW w:w="78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亿元</w:t>
            </w:r>
          </w:p>
        </w:tc>
        <w:tc>
          <w:tcPr>
            <w:tcW w:w="87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146</w:t>
            </w:r>
          </w:p>
        </w:tc>
        <w:tc>
          <w:tcPr>
            <w:tcW w:w="105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233</w:t>
            </w:r>
          </w:p>
        </w:tc>
        <w:tc>
          <w:tcPr>
            <w:tcW w:w="115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中高速</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增长</w:t>
            </w:r>
          </w:p>
        </w:tc>
        <w:tc>
          <w:tcPr>
            <w:tcW w:w="1009"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w:t>
            </w:r>
            <w:r>
              <w:rPr>
                <w:rFonts w:hint="default" w:ascii="Times New Roman" w:hAnsi="Times New Roman" w:eastAsia="仿宋_GB2312" w:cs="Times New Roman"/>
                <w:i w:val="0"/>
                <w:color w:val="auto"/>
                <w:kern w:val="0"/>
                <w:sz w:val="24"/>
                <w:szCs w:val="24"/>
                <w:highlight w:val="none"/>
                <w:u w:val="none"/>
                <w:lang w:val="en-US" w:eastAsia="zh-CN" w:bidi="ar"/>
              </w:rPr>
              <w:t>5</w:t>
            </w:r>
          </w:p>
        </w:tc>
        <w:tc>
          <w:tcPr>
            <w:tcW w:w="842"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7左右</w:t>
            </w:r>
          </w:p>
        </w:tc>
        <w:tc>
          <w:tcPr>
            <w:tcW w:w="97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588" w:hRule="atLeast"/>
          <w:jc w:val="center"/>
        </w:trPr>
        <w:tc>
          <w:tcPr>
            <w:tcW w:w="742"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w:t>
            </w:r>
          </w:p>
        </w:tc>
        <w:tc>
          <w:tcPr>
            <w:tcW w:w="1866" w:type="dxa"/>
            <w:gridSpan w:val="2"/>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全社会固定资产投资</w:t>
            </w:r>
          </w:p>
        </w:tc>
        <w:tc>
          <w:tcPr>
            <w:tcW w:w="78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亿元</w:t>
            </w:r>
          </w:p>
        </w:tc>
        <w:tc>
          <w:tcPr>
            <w:tcW w:w="87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206</w:t>
            </w:r>
          </w:p>
        </w:tc>
        <w:tc>
          <w:tcPr>
            <w:tcW w:w="1054"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433</w:t>
            </w:r>
          </w:p>
        </w:tc>
        <w:tc>
          <w:tcPr>
            <w:tcW w:w="1159" w:type="dxa"/>
            <w:tcBorders>
              <w:top w:val="single" w:color="000000" w:sz="8" w:space="0"/>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中高速</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增长</w:t>
            </w:r>
          </w:p>
        </w:tc>
        <w:tc>
          <w:tcPr>
            <w:tcW w:w="10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rPr>
                <w:rFonts w:hint="default" w:ascii="Times New Roman" w:hAnsi="Times New Roman" w:eastAsia="仿宋_GB2312" w:cs="Times New Roman"/>
                <w:i w:val="0"/>
                <w:color w:val="auto"/>
                <w:sz w:val="24"/>
                <w:szCs w:val="24"/>
                <w:highlight w:val="none"/>
                <w:u w:val="none"/>
              </w:rPr>
            </w:pP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11.3</w:t>
            </w:r>
          </w:p>
        </w:tc>
        <w:tc>
          <w:tcPr>
            <w:tcW w:w="974" w:type="dxa"/>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588"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公共财政预算收入</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亿元</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5</w:t>
            </w:r>
            <w:r>
              <w:rPr>
                <w:rFonts w:hint="default" w:ascii="Times New Roman" w:hAnsi="Times New Roman" w:eastAsia="仿宋_GB2312" w:cs="Times New Roman"/>
                <w:i w:val="0"/>
                <w:color w:val="auto"/>
                <w:kern w:val="0"/>
                <w:sz w:val="24"/>
                <w:szCs w:val="24"/>
                <w:highlight w:val="none"/>
                <w:u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US" w:eastAsia="zh-CN" w:bidi="ar"/>
              </w:rPr>
              <w:t>8</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9.8</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11.6</w:t>
            </w: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588"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社会消费品零售总额</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亿元</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69.5</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122</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中高速</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增长</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120.7</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11.7</w:t>
            </w: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588" w:hRule="atLeast"/>
          <w:jc w:val="center"/>
        </w:trPr>
        <w:tc>
          <w:tcPr>
            <w:tcW w:w="742" w:type="dxa"/>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5</w:t>
            </w:r>
          </w:p>
        </w:tc>
        <w:tc>
          <w:tcPr>
            <w:tcW w:w="1866" w:type="dxa"/>
            <w:gridSpan w:val="2"/>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外贸进出口总额</w:t>
            </w:r>
          </w:p>
        </w:tc>
        <w:tc>
          <w:tcPr>
            <w:tcW w:w="782"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万美元</w:t>
            </w:r>
          </w:p>
        </w:tc>
        <w:tc>
          <w:tcPr>
            <w:tcW w:w="872"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760</w:t>
            </w:r>
          </w:p>
        </w:tc>
        <w:tc>
          <w:tcPr>
            <w:tcW w:w="1054"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1100</w:t>
            </w:r>
          </w:p>
        </w:tc>
        <w:tc>
          <w:tcPr>
            <w:tcW w:w="1159"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7.7</w:t>
            </w:r>
          </w:p>
        </w:tc>
        <w:tc>
          <w:tcPr>
            <w:tcW w:w="1009"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842"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307" w:hRule="atLeast"/>
          <w:jc w:val="center"/>
        </w:trPr>
        <w:tc>
          <w:tcPr>
            <w:tcW w:w="9300" w:type="dxa"/>
            <w:gridSpan w:val="1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firstLine="241" w:firstLineChars="100"/>
              <w:jc w:val="left"/>
              <w:textAlignment w:val="center"/>
              <w:rPr>
                <w:rFonts w:hint="default" w:ascii="Times New Roman" w:hAnsi="Times New Roman" w:eastAsia="仿宋_GB2312" w:cs="Times New Roman"/>
                <w:b/>
                <w:i w:val="0"/>
                <w:color w:val="auto"/>
                <w:sz w:val="24"/>
                <w:szCs w:val="24"/>
                <w:highlight w:val="none"/>
                <w:u w:val="none"/>
              </w:rPr>
            </w:pPr>
            <w:r>
              <w:rPr>
                <w:rFonts w:hint="default" w:ascii="Times New Roman" w:hAnsi="Times New Roman" w:eastAsia="仿宋_GB2312" w:cs="Times New Roman"/>
                <w:b/>
                <w:i w:val="0"/>
                <w:color w:val="auto"/>
                <w:kern w:val="0"/>
                <w:sz w:val="24"/>
                <w:szCs w:val="24"/>
                <w:highlight w:val="none"/>
                <w:u w:val="none"/>
                <w:lang w:val="en-US" w:eastAsia="zh-CN" w:bidi="ar"/>
              </w:rPr>
              <w:t>二、转型升级</w:t>
            </w:r>
          </w:p>
        </w:tc>
      </w:tr>
      <w:tr>
        <w:tblPrEx>
          <w:tblCellMar>
            <w:top w:w="0" w:type="dxa"/>
            <w:left w:w="0" w:type="dxa"/>
            <w:bottom w:w="0" w:type="dxa"/>
            <w:right w:w="0" w:type="dxa"/>
          </w:tblCellMar>
        </w:tblPrEx>
        <w:trPr>
          <w:trHeight w:val="571"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常驻/户籍人口城镇化率</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33</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40</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1"/>
              <w:keepNext w:val="0"/>
              <w:keepLines w:val="0"/>
              <w:pageBreakBefore w:val="0"/>
              <w:widowControl/>
              <w:kinsoku/>
              <w:wordWrap/>
              <w:overflowPunct/>
              <w:topLinePunct w:val="0"/>
              <w:autoSpaceDE/>
              <w:autoSpaceDN/>
              <w:bidi w:val="0"/>
              <w:adjustRightInd/>
              <w:snapToGrid/>
              <w:spacing w:before="0" w:after="0" w:afterAutospacing="0" w:line="300" w:lineRule="exact"/>
              <w:ind w:left="0" w:leftChars="0"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val="en-US" w:eastAsia="zh-CN"/>
              </w:rPr>
              <w:t>1</w:t>
            </w:r>
          </w:p>
        </w:tc>
        <w:tc>
          <w:tcPr>
            <w:tcW w:w="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571" w:hRule="atLeast"/>
          <w:jc w:val="center"/>
        </w:trPr>
        <w:tc>
          <w:tcPr>
            <w:tcW w:w="742"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7</w:t>
            </w:r>
          </w:p>
        </w:tc>
        <w:tc>
          <w:tcPr>
            <w:tcW w:w="1866" w:type="dxa"/>
            <w:gridSpan w:val="2"/>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研发经费支出</w:t>
            </w:r>
          </w:p>
        </w:tc>
        <w:tc>
          <w:tcPr>
            <w:tcW w:w="782"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万元</w:t>
            </w:r>
          </w:p>
        </w:tc>
        <w:tc>
          <w:tcPr>
            <w:tcW w:w="872"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80</w:t>
            </w:r>
          </w:p>
        </w:tc>
        <w:tc>
          <w:tcPr>
            <w:tcW w:w="1054"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115</w:t>
            </w:r>
          </w:p>
        </w:tc>
        <w:tc>
          <w:tcPr>
            <w:tcW w:w="1159"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7.5</w:t>
            </w:r>
          </w:p>
        </w:tc>
        <w:tc>
          <w:tcPr>
            <w:tcW w:w="1009" w:type="dxa"/>
            <w:tcBorders>
              <w:top w:val="single" w:color="auto" w:sz="4" w:space="0"/>
              <w:left w:val="nil"/>
              <w:bottom w:val="single" w:color="000000" w:sz="8"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val="en-US" w:eastAsia="zh-CN"/>
              </w:rPr>
            </w:pPr>
            <w:r>
              <w:rPr>
                <w:rFonts w:hint="default" w:ascii="Times New Roman" w:hAnsi="Times New Roman" w:eastAsia="仿宋_GB2312" w:cs="Times New Roman"/>
                <w:i w:val="0"/>
                <w:color w:val="auto"/>
                <w:sz w:val="24"/>
                <w:szCs w:val="24"/>
                <w:highlight w:val="none"/>
                <w:u w:val="none"/>
                <w:lang w:val="en-US" w:eastAsia="zh-CN"/>
              </w:rPr>
              <w:t>7</w:t>
            </w:r>
            <w:r>
              <w:rPr>
                <w:rFonts w:hint="default" w:ascii="Times New Roman" w:hAnsi="Times New Roman" w:eastAsia="仿宋_GB2312" w:cs="Times New Roman"/>
                <w:i w:val="0"/>
                <w:color w:val="auto"/>
                <w:sz w:val="24"/>
                <w:szCs w:val="24"/>
                <w:highlight w:val="none"/>
                <w:u w:val="none"/>
                <w:lang w:val="en-US" w:eastAsia="zh-CN"/>
              </w:rPr>
              <w:t>027.9*</w:t>
            </w:r>
          </w:p>
        </w:tc>
        <w:tc>
          <w:tcPr>
            <w:tcW w:w="84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val="en-US" w:eastAsia="zh-CN"/>
              </w:rPr>
            </w:pPr>
            <w:r>
              <w:rPr>
                <w:rFonts w:hint="default" w:ascii="Times New Roman" w:hAnsi="Times New Roman" w:eastAsia="仿宋_GB2312" w:cs="Times New Roman"/>
                <w:i w:val="0"/>
                <w:color w:val="auto"/>
                <w:sz w:val="24"/>
                <w:szCs w:val="24"/>
                <w:highlight w:val="none"/>
                <w:u w:val="none"/>
                <w:lang w:val="en-US" w:eastAsia="zh-CN"/>
              </w:rPr>
              <w:t>57.4*</w:t>
            </w:r>
          </w:p>
        </w:tc>
        <w:tc>
          <w:tcPr>
            <w:tcW w:w="974"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324" w:hRule="atLeast"/>
          <w:jc w:val="center"/>
        </w:trPr>
        <w:tc>
          <w:tcPr>
            <w:tcW w:w="9300" w:type="dxa"/>
            <w:gridSpan w:val="10"/>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both"/>
              <w:textAlignment w:val="center"/>
              <w:rPr>
                <w:rFonts w:hint="default" w:ascii="Times New Roman" w:hAnsi="Times New Roman" w:eastAsia="仿宋_GB2312" w:cs="Times New Roman"/>
                <w:b/>
                <w:i w:val="0"/>
                <w:color w:val="auto"/>
                <w:sz w:val="24"/>
                <w:szCs w:val="24"/>
                <w:highlight w:val="none"/>
                <w:u w:val="none"/>
              </w:rPr>
            </w:pPr>
            <w:r>
              <w:rPr>
                <w:rFonts w:hint="default" w:ascii="Times New Roman" w:hAnsi="Times New Roman" w:eastAsia="仿宋_GB2312" w:cs="Times New Roman"/>
                <w:b/>
                <w:i w:val="0"/>
                <w:color w:val="auto"/>
                <w:kern w:val="0"/>
                <w:sz w:val="24"/>
                <w:szCs w:val="24"/>
                <w:highlight w:val="none"/>
                <w:u w:val="none"/>
                <w:lang w:val="en-US" w:eastAsia="zh-CN" w:bidi="ar"/>
              </w:rPr>
              <w:t xml:space="preserve">   三、绿色发展</w:t>
            </w:r>
          </w:p>
        </w:tc>
      </w:tr>
      <w:tr>
        <w:tblPrEx>
          <w:tblCellMar>
            <w:top w:w="0" w:type="dxa"/>
            <w:left w:w="0" w:type="dxa"/>
            <w:bottom w:w="0" w:type="dxa"/>
            <w:right w:w="0" w:type="dxa"/>
          </w:tblCellMar>
        </w:tblPrEx>
        <w:trPr>
          <w:trHeight w:val="90"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8</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耕地保有量</w:t>
            </w:r>
          </w:p>
        </w:tc>
        <w:tc>
          <w:tcPr>
            <w:tcW w:w="782" w:type="dxa"/>
            <w:tcBorders>
              <w:top w:val="single" w:color="000000" w:sz="8" w:space="0"/>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万公顷</w:t>
            </w:r>
          </w:p>
        </w:tc>
        <w:tc>
          <w:tcPr>
            <w:tcW w:w="872"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4.6</w:t>
            </w:r>
          </w:p>
        </w:tc>
        <w:tc>
          <w:tcPr>
            <w:tcW w:w="1054"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4.662</w:t>
            </w:r>
          </w:p>
        </w:tc>
        <w:tc>
          <w:tcPr>
            <w:tcW w:w="1159"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4.66</w:t>
            </w:r>
          </w:p>
        </w:tc>
        <w:tc>
          <w:tcPr>
            <w:tcW w:w="842"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9</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万元工业增加值用水量</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立方米</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25.53</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w:t>
            </w: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万元生产总值能耗</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吨标准煤</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eastAsia="zh-CN"/>
              </w:rPr>
            </w:pPr>
            <w:r>
              <w:rPr>
                <w:rFonts w:hint="default" w:ascii="Times New Roman" w:hAnsi="Times New Roman" w:eastAsia="仿宋_GB2312" w:cs="Times New Roman"/>
                <w:i w:val="0"/>
                <w:color w:val="auto"/>
                <w:sz w:val="24"/>
                <w:szCs w:val="24"/>
                <w:highlight w:val="none"/>
                <w:u w:val="none"/>
                <w:lang w:eastAsia="zh-CN"/>
              </w:rPr>
              <w:t>完成市</w:t>
            </w:r>
          </w:p>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eastAsia="zh-CN"/>
              </w:rPr>
            </w:pPr>
            <w:r>
              <w:rPr>
                <w:rFonts w:hint="default" w:ascii="Times New Roman" w:hAnsi="Times New Roman" w:eastAsia="仿宋_GB2312" w:cs="Times New Roman"/>
                <w:i w:val="0"/>
                <w:color w:val="auto"/>
                <w:sz w:val="24"/>
                <w:szCs w:val="24"/>
                <w:highlight w:val="none"/>
                <w:u w:val="none"/>
                <w:lang w:eastAsia="zh-CN"/>
              </w:rPr>
              <w:t>下达目标</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11</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万元生产总值二氧化碳排放量</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吨</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eastAsia="zh-CN"/>
              </w:rPr>
            </w:pPr>
            <w:r>
              <w:rPr>
                <w:rFonts w:hint="default" w:ascii="Times New Roman" w:hAnsi="Times New Roman" w:eastAsia="仿宋_GB2312" w:cs="Times New Roman"/>
                <w:i w:val="0"/>
                <w:color w:val="auto"/>
                <w:sz w:val="24"/>
                <w:szCs w:val="24"/>
                <w:highlight w:val="none"/>
                <w:u w:val="none"/>
                <w:lang w:eastAsia="zh-CN"/>
              </w:rPr>
              <w:t>完成市</w:t>
            </w:r>
          </w:p>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sz w:val="24"/>
                <w:szCs w:val="24"/>
                <w:highlight w:val="none"/>
                <w:u w:val="none"/>
                <w:lang w:eastAsia="zh-CN"/>
              </w:rPr>
              <w:t>下达目标</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71"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7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主要污染物排</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放</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化学</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需氧量</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吨</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3800</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257</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71" w:hRule="atLeast"/>
          <w:jc w:val="center"/>
        </w:trPr>
        <w:tc>
          <w:tcPr>
            <w:tcW w:w="742" w:type="dxa"/>
            <w:vMerge w:val="continue"/>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795" w:type="dxa"/>
            <w:vMerge w:val="continue"/>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left"/>
              <w:rPr>
                <w:rFonts w:hint="default" w:ascii="Times New Roman" w:hAnsi="Times New Roman" w:eastAsia="仿宋_GB2312" w:cs="Times New Roman"/>
                <w:i w:val="0"/>
                <w:color w:val="auto"/>
                <w:sz w:val="24"/>
                <w:szCs w:val="24"/>
                <w:highlight w:val="none"/>
                <w:u w:val="none"/>
              </w:rPr>
            </w:pPr>
          </w:p>
        </w:tc>
        <w:tc>
          <w:tcPr>
            <w:tcW w:w="1071"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二氧化硫</w:t>
            </w:r>
          </w:p>
        </w:tc>
        <w:tc>
          <w:tcPr>
            <w:tcW w:w="782"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吨</w:t>
            </w:r>
          </w:p>
        </w:tc>
        <w:tc>
          <w:tcPr>
            <w:tcW w:w="872"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1500</w:t>
            </w:r>
          </w:p>
        </w:tc>
        <w:tc>
          <w:tcPr>
            <w:tcW w:w="1054"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159"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446</w:t>
            </w:r>
          </w:p>
        </w:tc>
        <w:tc>
          <w:tcPr>
            <w:tcW w:w="842"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vMerge w:val="continue"/>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795"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left"/>
              <w:rPr>
                <w:rFonts w:hint="default" w:ascii="Times New Roman" w:hAnsi="Times New Roman" w:eastAsia="仿宋_GB2312" w:cs="Times New Roman"/>
                <w:i w:val="0"/>
                <w:color w:val="auto"/>
                <w:sz w:val="24"/>
                <w:szCs w:val="24"/>
                <w:highlight w:val="none"/>
                <w:u w:val="none"/>
              </w:rPr>
            </w:pPr>
          </w:p>
        </w:tc>
        <w:tc>
          <w:tcPr>
            <w:tcW w:w="107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氨氮</w:t>
            </w:r>
          </w:p>
        </w:tc>
        <w:tc>
          <w:tcPr>
            <w:tcW w:w="7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吨</w:t>
            </w:r>
          </w:p>
        </w:tc>
        <w:tc>
          <w:tcPr>
            <w:tcW w:w="87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304</w:t>
            </w:r>
          </w:p>
        </w:tc>
        <w:tc>
          <w:tcPr>
            <w:tcW w:w="105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1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63</w:t>
            </w:r>
          </w:p>
        </w:tc>
        <w:tc>
          <w:tcPr>
            <w:tcW w:w="84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vMerge w:val="continue"/>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795" w:type="dxa"/>
            <w:vMerge w:val="continue"/>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left"/>
              <w:rPr>
                <w:rFonts w:hint="default" w:ascii="Times New Roman" w:hAnsi="Times New Roman" w:eastAsia="仿宋_GB2312" w:cs="Times New Roman"/>
                <w:i w:val="0"/>
                <w:color w:val="auto"/>
                <w:sz w:val="24"/>
                <w:szCs w:val="24"/>
                <w:highlight w:val="none"/>
                <w:u w:val="none"/>
              </w:rPr>
            </w:pPr>
          </w:p>
        </w:tc>
        <w:tc>
          <w:tcPr>
            <w:tcW w:w="1071"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氮氧化物</w:t>
            </w:r>
          </w:p>
        </w:tc>
        <w:tc>
          <w:tcPr>
            <w:tcW w:w="78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吨</w:t>
            </w:r>
          </w:p>
        </w:tc>
        <w:tc>
          <w:tcPr>
            <w:tcW w:w="87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200</w:t>
            </w:r>
          </w:p>
        </w:tc>
        <w:tc>
          <w:tcPr>
            <w:tcW w:w="1054"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159"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68.97</w:t>
            </w:r>
          </w:p>
        </w:tc>
        <w:tc>
          <w:tcPr>
            <w:tcW w:w="84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71"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13</w:t>
            </w:r>
          </w:p>
        </w:tc>
        <w:tc>
          <w:tcPr>
            <w:tcW w:w="7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森林</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增长</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森林</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覆盖率</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62.9</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65</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eastAsia" w:ascii="Times New Roman" w:hAnsi="Times New Roman" w:eastAsia="仿宋_GB2312" w:cs="Times New Roman"/>
                <w:i w:val="0"/>
                <w:color w:val="auto"/>
                <w:kern w:val="0"/>
                <w:sz w:val="24"/>
                <w:szCs w:val="24"/>
                <w:highlight w:val="none"/>
                <w:u w:val="none"/>
                <w:lang w:val="en-US" w:eastAsia="zh-CN" w:bidi="ar"/>
              </w:rPr>
              <w:t>71</w:t>
            </w:r>
            <w:r>
              <w:rPr>
                <w:rFonts w:hint="default" w:ascii="Times New Roman" w:hAnsi="Times New Roman" w:eastAsia="仿宋_GB2312" w:cs="Times New Roman"/>
                <w:i w:val="0"/>
                <w:color w:val="auto"/>
                <w:kern w:val="0"/>
                <w:sz w:val="24"/>
                <w:szCs w:val="24"/>
                <w:highlight w:val="none"/>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12</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71"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森林</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蓄积量</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万立</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方米</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1063</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1500</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7.1</w:t>
            </w:r>
          </w:p>
        </w:tc>
        <w:tc>
          <w:tcPr>
            <w:tcW w:w="1009"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val="en-US" w:eastAsia="zh-CN"/>
              </w:rPr>
            </w:pPr>
            <w:r>
              <w:rPr>
                <w:rFonts w:hint="default" w:ascii="Times New Roman" w:hAnsi="Times New Roman" w:eastAsia="仿宋_GB2312" w:cs="Times New Roman"/>
                <w:i w:val="0"/>
                <w:color w:val="auto"/>
                <w:sz w:val="24"/>
                <w:szCs w:val="24"/>
                <w:highlight w:val="none"/>
                <w:u w:val="none"/>
                <w:lang w:val="en-US" w:eastAsia="zh-CN"/>
              </w:rPr>
              <w:t>1199</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71"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14</w:t>
            </w:r>
          </w:p>
        </w:tc>
        <w:tc>
          <w:tcPr>
            <w:tcW w:w="186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both"/>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全县水土流失治理面积</w:t>
            </w:r>
          </w:p>
        </w:tc>
        <w:tc>
          <w:tcPr>
            <w:tcW w:w="7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平方</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公里</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25.3</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100</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31.6</w:t>
            </w:r>
          </w:p>
        </w:tc>
        <w:tc>
          <w:tcPr>
            <w:tcW w:w="10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129.69</w:t>
            </w: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307" w:hRule="atLeast"/>
          <w:jc w:val="center"/>
        </w:trPr>
        <w:tc>
          <w:tcPr>
            <w:tcW w:w="9300" w:type="dxa"/>
            <w:gridSpan w:val="10"/>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b/>
                <w:i w:val="0"/>
                <w:color w:val="auto"/>
                <w:sz w:val="24"/>
                <w:szCs w:val="24"/>
                <w:highlight w:val="none"/>
                <w:u w:val="none"/>
              </w:rPr>
            </w:pPr>
            <w:r>
              <w:rPr>
                <w:rFonts w:hint="default" w:ascii="Times New Roman" w:hAnsi="Times New Roman" w:eastAsia="仿宋_GB2312" w:cs="Times New Roman"/>
                <w:b/>
                <w:i w:val="0"/>
                <w:color w:val="auto"/>
                <w:kern w:val="0"/>
                <w:sz w:val="24"/>
                <w:szCs w:val="24"/>
                <w:highlight w:val="none"/>
                <w:u w:val="none"/>
                <w:lang w:val="en-US" w:eastAsia="zh-CN" w:bidi="ar"/>
              </w:rPr>
              <w:t xml:space="preserve">   四、民生福祉</w:t>
            </w:r>
          </w:p>
        </w:tc>
      </w:tr>
      <w:tr>
        <w:tblPrEx>
          <w:tblCellMar>
            <w:top w:w="0" w:type="dxa"/>
            <w:left w:w="0" w:type="dxa"/>
            <w:bottom w:w="0" w:type="dxa"/>
            <w:right w:w="0" w:type="dxa"/>
          </w:tblCellMar>
        </w:tblPrEx>
        <w:trPr>
          <w:trHeight w:val="324"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1866"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总人口</w:t>
            </w:r>
          </w:p>
        </w:tc>
        <w:tc>
          <w:tcPr>
            <w:tcW w:w="78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万人</w:t>
            </w:r>
          </w:p>
        </w:tc>
        <w:tc>
          <w:tcPr>
            <w:tcW w:w="87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60</w:t>
            </w:r>
          </w:p>
        </w:tc>
        <w:tc>
          <w:tcPr>
            <w:tcW w:w="105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62.2</w:t>
            </w:r>
          </w:p>
        </w:tc>
        <w:tc>
          <w:tcPr>
            <w:tcW w:w="115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0.75</w:t>
            </w:r>
          </w:p>
        </w:tc>
        <w:tc>
          <w:tcPr>
            <w:tcW w:w="100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84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16</w:t>
            </w:r>
          </w:p>
        </w:tc>
        <w:tc>
          <w:tcPr>
            <w:tcW w:w="1866"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both"/>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居民人均可支配收入</w:t>
            </w:r>
          </w:p>
        </w:tc>
        <w:tc>
          <w:tcPr>
            <w:tcW w:w="7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万元</w:t>
            </w:r>
          </w:p>
        </w:tc>
        <w:tc>
          <w:tcPr>
            <w:tcW w:w="87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1.28</w:t>
            </w:r>
          </w:p>
        </w:tc>
        <w:tc>
          <w:tcPr>
            <w:tcW w:w="105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2.06</w:t>
            </w:r>
          </w:p>
        </w:tc>
        <w:tc>
          <w:tcPr>
            <w:tcW w:w="115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中高速</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增长</w:t>
            </w:r>
          </w:p>
        </w:tc>
        <w:tc>
          <w:tcPr>
            <w:tcW w:w="100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val="en-US" w:eastAsia="zh-CN"/>
              </w:rPr>
            </w:pPr>
            <w:r>
              <w:rPr>
                <w:rFonts w:hint="default" w:ascii="Times New Roman" w:hAnsi="Times New Roman" w:eastAsia="仿宋_GB2312" w:cs="Times New Roman"/>
                <w:i w:val="0"/>
                <w:color w:val="auto"/>
                <w:sz w:val="24"/>
                <w:szCs w:val="24"/>
                <w:highlight w:val="none"/>
                <w:u w:val="none"/>
                <w:lang w:val="en-US" w:eastAsia="zh-CN"/>
              </w:rPr>
              <w:t>1.99</w:t>
            </w:r>
          </w:p>
        </w:tc>
        <w:tc>
          <w:tcPr>
            <w:tcW w:w="84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8.8左右</w:t>
            </w:r>
          </w:p>
        </w:tc>
        <w:tc>
          <w:tcPr>
            <w:tcW w:w="97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324"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17</w:t>
            </w:r>
          </w:p>
        </w:tc>
        <w:tc>
          <w:tcPr>
            <w:tcW w:w="1866"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城镇调查失业率</w:t>
            </w:r>
          </w:p>
        </w:tc>
        <w:tc>
          <w:tcPr>
            <w:tcW w:w="7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87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4.5</w:t>
            </w:r>
          </w:p>
        </w:tc>
        <w:tc>
          <w:tcPr>
            <w:tcW w:w="105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w:t>
            </w:r>
          </w:p>
        </w:tc>
        <w:tc>
          <w:tcPr>
            <w:tcW w:w="11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2.8</w:t>
            </w:r>
          </w:p>
        </w:tc>
        <w:tc>
          <w:tcPr>
            <w:tcW w:w="84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18</w:t>
            </w:r>
          </w:p>
        </w:tc>
        <w:tc>
          <w:tcPr>
            <w:tcW w:w="1866"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城镇常住人口保障性住房覆盖率</w:t>
            </w:r>
          </w:p>
        </w:tc>
        <w:tc>
          <w:tcPr>
            <w:tcW w:w="7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87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80</w:t>
            </w:r>
          </w:p>
        </w:tc>
        <w:tc>
          <w:tcPr>
            <w:tcW w:w="105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100</w:t>
            </w:r>
          </w:p>
        </w:tc>
        <w:tc>
          <w:tcPr>
            <w:tcW w:w="11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lang w:val="en-US" w:eastAsia="zh-CN"/>
              </w:rPr>
            </w:pPr>
            <w:r>
              <w:rPr>
                <w:rFonts w:hint="default" w:ascii="Times New Roman" w:hAnsi="Times New Roman" w:eastAsia="仿宋_GB2312" w:cs="Times New Roman"/>
                <w:i w:val="0"/>
                <w:color w:val="auto"/>
                <w:sz w:val="24"/>
                <w:szCs w:val="24"/>
                <w:highlight w:val="none"/>
                <w:u w:val="none"/>
                <w:lang w:val="en-US" w:eastAsia="zh-CN"/>
              </w:rPr>
              <w:t>100（原人口）</w:t>
            </w:r>
          </w:p>
        </w:tc>
        <w:tc>
          <w:tcPr>
            <w:tcW w:w="84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588"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19</w:t>
            </w:r>
          </w:p>
        </w:tc>
        <w:tc>
          <w:tcPr>
            <w:tcW w:w="1866"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五年新增城镇就业人数</w:t>
            </w:r>
          </w:p>
        </w:tc>
        <w:tc>
          <w:tcPr>
            <w:tcW w:w="7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万人</w:t>
            </w:r>
          </w:p>
        </w:tc>
        <w:tc>
          <w:tcPr>
            <w:tcW w:w="87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2.1</w:t>
            </w:r>
          </w:p>
        </w:tc>
        <w:tc>
          <w:tcPr>
            <w:tcW w:w="105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2.3</w:t>
            </w:r>
          </w:p>
        </w:tc>
        <w:tc>
          <w:tcPr>
            <w:tcW w:w="11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2.79</w:t>
            </w:r>
          </w:p>
        </w:tc>
        <w:tc>
          <w:tcPr>
            <w:tcW w:w="84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预期性</w:t>
            </w:r>
          </w:p>
        </w:tc>
      </w:tr>
      <w:tr>
        <w:tblPrEx>
          <w:tblCellMar>
            <w:top w:w="0" w:type="dxa"/>
            <w:left w:w="0" w:type="dxa"/>
            <w:bottom w:w="0" w:type="dxa"/>
            <w:right w:w="0" w:type="dxa"/>
          </w:tblCellMar>
        </w:tblPrEx>
        <w:trPr>
          <w:trHeight w:val="588" w:hRule="atLeast"/>
          <w:jc w:val="center"/>
        </w:trPr>
        <w:tc>
          <w:tcPr>
            <w:tcW w:w="742"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20</w:t>
            </w:r>
          </w:p>
        </w:tc>
        <w:tc>
          <w:tcPr>
            <w:tcW w:w="1866"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高中教育普及率</w:t>
            </w:r>
          </w:p>
        </w:tc>
        <w:tc>
          <w:tcPr>
            <w:tcW w:w="7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87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91.75</w:t>
            </w:r>
          </w:p>
        </w:tc>
        <w:tc>
          <w:tcPr>
            <w:tcW w:w="105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99</w:t>
            </w:r>
          </w:p>
        </w:tc>
        <w:tc>
          <w:tcPr>
            <w:tcW w:w="11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完成省</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下达任务</w:t>
            </w:r>
          </w:p>
        </w:tc>
        <w:tc>
          <w:tcPr>
            <w:tcW w:w="84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300" w:lineRule="exact"/>
              <w:ind w:left="0"/>
              <w:jc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623" w:hRule="atLeast"/>
          <w:jc w:val="center"/>
        </w:trPr>
        <w:tc>
          <w:tcPr>
            <w:tcW w:w="742"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21</w:t>
            </w:r>
          </w:p>
        </w:tc>
        <w:tc>
          <w:tcPr>
            <w:tcW w:w="1866" w:type="dxa"/>
            <w:gridSpan w:val="2"/>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每千人口医疗机构床位数</w:t>
            </w:r>
          </w:p>
        </w:tc>
        <w:tc>
          <w:tcPr>
            <w:tcW w:w="78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张</w:t>
            </w:r>
          </w:p>
        </w:tc>
        <w:tc>
          <w:tcPr>
            <w:tcW w:w="87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3.5</w:t>
            </w:r>
          </w:p>
        </w:tc>
        <w:tc>
          <w:tcPr>
            <w:tcW w:w="1054"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4.5</w:t>
            </w:r>
          </w:p>
        </w:tc>
        <w:tc>
          <w:tcPr>
            <w:tcW w:w="1159"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w:t>
            </w:r>
          </w:p>
        </w:tc>
        <w:tc>
          <w:tcPr>
            <w:tcW w:w="1009"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完成省</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下达任务</w:t>
            </w:r>
          </w:p>
        </w:tc>
        <w:tc>
          <w:tcPr>
            <w:tcW w:w="84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p>
        </w:tc>
        <w:tc>
          <w:tcPr>
            <w:tcW w:w="974"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left="0"/>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约束性</w:t>
            </w:r>
          </w:p>
        </w:tc>
      </w:tr>
      <w:tr>
        <w:tblPrEx>
          <w:tblCellMar>
            <w:top w:w="0" w:type="dxa"/>
            <w:left w:w="0" w:type="dxa"/>
            <w:bottom w:w="0" w:type="dxa"/>
            <w:right w:w="0" w:type="dxa"/>
          </w:tblCellMar>
        </w:tblPrEx>
        <w:trPr>
          <w:trHeight w:val="623" w:hRule="atLeast"/>
          <w:jc w:val="center"/>
        </w:trPr>
        <w:tc>
          <w:tcPr>
            <w:tcW w:w="9300" w:type="dxa"/>
            <w:gridSpan w:val="1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tabs>
                <w:tab w:val="left" w:pos="1374"/>
              </w:tabs>
              <w:kinsoku/>
              <w:wordWrap/>
              <w:overflowPunct/>
              <w:topLinePunct w:val="0"/>
              <w:autoSpaceDE/>
              <w:autoSpaceDN/>
              <w:bidi w:val="0"/>
              <w:adjustRightInd/>
              <w:snapToGrid/>
              <w:spacing w:afterAutospacing="0" w:line="300" w:lineRule="exact"/>
              <w:ind w:left="0"/>
              <w:jc w:val="lef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注：1、*为2019年数。2、少数预期性目标按程序进行了调整。</w:t>
            </w:r>
          </w:p>
        </w:tc>
      </w:tr>
    </w:tbl>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3" w:name="_Toc8917"/>
      <w:r>
        <w:rPr>
          <w:rFonts w:hint="default" w:ascii="Times New Roman" w:hAnsi="Times New Roman" w:eastAsia="仿宋_GB2312" w:cs="Times New Roman"/>
          <w:b/>
          <w:color w:val="auto"/>
          <w:kern w:val="0"/>
          <w:sz w:val="32"/>
          <w:szCs w:val="32"/>
          <w:lang w:val="en-US" w:eastAsia="zh-CN" w:bidi="ar"/>
        </w:rPr>
        <w:t>第二节 新发展阶段面临的新机遇新挑战</w:t>
      </w:r>
      <w:bookmarkEnd w:id="3"/>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全球政治经济形势面临前所未有变局。</w:t>
      </w:r>
      <w:r>
        <w:rPr>
          <w:rFonts w:hint="default" w:ascii="Times New Roman" w:hAnsi="Times New Roman" w:eastAsia="仿宋_GB2312" w:cs="Times New Roman"/>
          <w:color w:val="auto"/>
          <w:kern w:val="0"/>
          <w:sz w:val="32"/>
          <w:szCs w:val="32"/>
          <w:lang w:val="en-US" w:eastAsia="zh-CN" w:bidi="ar"/>
        </w:rPr>
        <w:t>今年以来，世界百年未有之大变局在新冠疫情的影响下加速演化，发展环境复杂严峻。从国际上看，中美战略博弈显性对抗压力空前加大，新冠疫情后全球经济困境持续，我国进出口面临较大的不稳定性和不确定性；经济全球化遭遇逆流，新一轮科技革命加速催化产业变革，倒逼我国自主创新，在危机中培育新机。从国内情况看，我国即将开启全面建设社会主义现代化国家新征程，但国际环境的大变局和新冠疫情的走向不明，使我们面临短期发展形势判断难、发展目标设定难、经济持续提升难三大难题。但从长远看，外部严峻的风险挑战不会改变我国经济稳中向好的基本面。</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十四五</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时期，我国将由中等收入国家迈向高收入国家的发展趋势不会改变，由经济高速增长转向高质量发展的战略导向不会改变，由全面建成小康社会向全面建设社会主义现代化国家的既定目标不会改变。围绕应对外部环境变化，国家将更加注重实施扩大内需战略，更加注重完善城镇化战略，更加重视改革开放创新协同发力，更加注重人与自然和谐共生，更加注重安全发展，筑牢粮食、金融、网络、医疗卫生等重点领域安全底板。如何准确识变、科学应变、主动求变，于变局中开先局，不断拓展发展新空间，是我们必须面对的挑战。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嵩县面临重大战略机遇。</w:t>
      </w:r>
      <w:r>
        <w:rPr>
          <w:rFonts w:hint="default" w:ascii="Times New Roman" w:hAnsi="Times New Roman" w:eastAsia="仿宋_GB2312" w:cs="Times New Roman"/>
          <w:color w:val="auto"/>
          <w:kern w:val="0"/>
          <w:sz w:val="32"/>
          <w:szCs w:val="32"/>
          <w:lang w:val="en-US" w:eastAsia="zh-CN" w:bidi="ar"/>
        </w:rPr>
        <w:t xml:space="preserve">进入新发展阶段，嵩县发展仍处于重要战略机遇期，但机遇和挑战都有新的发展变化，嵩县正迎来战略机遇叠加期和国家政策调整过渡期，但也存在着产业发展结构不优、龙头企业偏少等现实挑战。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国家战略机遇。</w:t>
      </w:r>
      <w:r>
        <w:rPr>
          <w:rFonts w:hint="default" w:ascii="Times New Roman" w:hAnsi="Times New Roman" w:eastAsia="仿宋_GB2312" w:cs="Times New Roman"/>
          <w:color w:val="auto"/>
          <w:kern w:val="0"/>
          <w:sz w:val="32"/>
          <w:szCs w:val="32"/>
          <w:lang w:val="en-US" w:eastAsia="zh-CN" w:bidi="ar"/>
        </w:rPr>
        <w:t>黄河流域生态保护和高质量发展、促进中部地区崛起等国家战略，自创区、自贸区、综保区、跨境电商综合试验区等战略平台在洛阳交汇叠加，为嵩县更多更好地争取上级政策、项目、资金支持提供了便利条件。从国家和省市政策看，国家连续多年实施积极的财政政策和稳健的货币政策，因时因势推出一揽子针对性强、含金量高的具体政策，省委省政府出台了一系列支持洛阳发展的政策措施，《洛阳都市圈发展规划》将嵩县纳入“一河两山”（黄河、太行山、伏牛山）生态圈，支持嵩县建设伏牛山生态旅游集散地、中医药生产加工基地，为我们推动高质量发展提供了有力支撑。只要我们把战略机遇、政策机遇用足用活用好，就一定能乘势而上，在融入大格局中实现更大发展。</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国家重大政策机遇。</w:t>
      </w:r>
      <w:r>
        <w:rPr>
          <w:rFonts w:hint="default" w:ascii="Times New Roman" w:hAnsi="Times New Roman" w:eastAsia="仿宋_GB2312" w:cs="Times New Roman"/>
          <w:color w:val="auto"/>
          <w:kern w:val="0"/>
          <w:sz w:val="32"/>
          <w:szCs w:val="32"/>
          <w:lang w:val="en-US" w:eastAsia="zh-CN" w:bidi="ar"/>
        </w:rPr>
        <w:t>中央农村工作会议明确提出：脱贫攻坚目标任务完成后，对摆脱贫困的县，从脱贫之日起设立</w:t>
      </w:r>
      <w:r>
        <w:rPr>
          <w:rFonts w:hint="default" w:ascii="Times New Roman" w:hAnsi="Times New Roman" w:eastAsia="宋体"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年过渡期。全国巩固拓展脱贫攻坚成果同乡村振兴有效衔接工作会议提出，要顺应</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三农</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工作重心历史性转移的新形势新要求，推动从集中力量脱贫攻坚转向全面推进乡村振兴。做好有效衔接是当前和今后一个时期农村工作的首要任务，有利于嵩县强化机遇意识，着力推动脱贫攻坚政策举措和工作体系逐步向乡村振兴平稳过渡，确保实现同乡村振兴有效衔接，促进乡村振兴有序推进。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嵩县面临的挑战。</w:t>
      </w:r>
      <w:r>
        <w:rPr>
          <w:rFonts w:hint="default" w:ascii="Times New Roman" w:hAnsi="Times New Roman" w:eastAsia="仿宋_GB2312" w:cs="Times New Roman"/>
          <w:color w:val="auto"/>
          <w:kern w:val="0"/>
          <w:sz w:val="32"/>
          <w:szCs w:val="32"/>
          <w:lang w:val="en-US" w:eastAsia="zh-CN" w:bidi="ar"/>
        </w:rPr>
        <w:t xml:space="preserve">当前和今后一个时期，嵩县的发展将面临更多逆风逆水的外部环境，进入风险挑战凸显期。从过去的顺势而上变为现在的顶风而行，从过去的相对平稳变为现在的风高浪急，必须做足应对困难局面的充分准备。具体到嵩县，发展不平衡不充分问题仍然突出，重点领域改革、产业结构优化、生态建设、民生改善等任务仍然艰巨，疫情带来的不稳定不确定因素仍然存在。尤其我们是在刚实现脱贫摘帽的农业大县基础上推进现代化建设，肩负着发展和转型的双重任务，无论是基本县情还是所处的发展阶段，都决定了风险暴露的面比较广，抗冲击的能力比较弱。因此，我们要树牢底线思维，既要在识困局中高度敏锐，也要在破困局中精准施策，努力实现高质量发展和高水平安全的良性互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综合研判，</w:t>
      </w:r>
      <w:r>
        <w:rPr>
          <w:rFonts w:hint="default" w:ascii="Times New Roman" w:hAnsi="Times New Roman" w:eastAsia="仿宋_GB2312" w:cs="Times New Roman"/>
          <w:color w:val="auto"/>
          <w:kern w:val="0"/>
          <w:sz w:val="32"/>
          <w:szCs w:val="32"/>
          <w:lang w:val="en-US" w:eastAsia="zh-CN" w:bidi="ar"/>
        </w:rPr>
        <w:t>“十四五”时期嵩县发展面临的宏观环境严峻，外部挑战前所未有，但全县经济增长潜力足、韧性强，经济社会长期向好的趋势不会发生根本改变。国家、省和市重大战略在嵩县叠加效应明显，脱贫攻坚政策过渡期为嵩县巩固过去五年成果和接茬推进乡村振兴提供了坚实支撑。“十四五”嵩县仍然大有可为。未来五年，嵩县围绕洛阳都市圈建设、“</w:t>
      </w:r>
      <w:r>
        <w:rPr>
          <w:rFonts w:hint="default" w:ascii="Times New Roman" w:hAnsi="Times New Roman" w:eastAsia="宋体" w:cs="Times New Roman"/>
          <w:color w:val="auto"/>
          <w:kern w:val="0"/>
          <w:sz w:val="32"/>
          <w:szCs w:val="32"/>
          <w:lang w:val="en-US" w:eastAsia="zh-CN" w:bidi="ar"/>
        </w:rPr>
        <w:t>9+2</w:t>
      </w:r>
      <w:r>
        <w:rPr>
          <w:rFonts w:hint="default" w:ascii="Times New Roman" w:hAnsi="Times New Roman" w:eastAsia="仿宋_GB2312" w:cs="Times New Roman"/>
          <w:color w:val="auto"/>
          <w:kern w:val="0"/>
          <w:sz w:val="32"/>
          <w:szCs w:val="32"/>
          <w:lang w:val="en-US" w:eastAsia="zh-CN" w:bidi="ar"/>
        </w:rPr>
        <w:t>”工作布局和</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四大战略</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五篇文章</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，有能力有条件在重要领域和关键环节担当作为，实现经济社会跨越提升，为谱写新时代中原更加绚丽篇章贡献嵩县力量。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4" w:name="_Toc11055"/>
      <w:r>
        <w:rPr>
          <w:rFonts w:hint="default" w:ascii="Times New Roman" w:hAnsi="Times New Roman" w:eastAsia="黑体" w:cs="Times New Roman"/>
          <w:color w:val="auto"/>
          <w:kern w:val="0"/>
          <w:sz w:val="32"/>
          <w:szCs w:val="32"/>
          <w:lang w:val="en-US" w:eastAsia="zh-CN" w:bidi="ar"/>
        </w:rPr>
        <w:t>第二章 未来五年发展蓝图和</w:t>
      </w:r>
      <w:r>
        <w:rPr>
          <w:rFonts w:hint="default" w:ascii="Times New Roman" w:hAnsi="Times New Roman" w:eastAsia="宋体" w:cs="Times New Roman"/>
          <w:color w:val="auto"/>
          <w:kern w:val="0"/>
          <w:sz w:val="32"/>
          <w:szCs w:val="32"/>
          <w:lang w:val="en-US" w:eastAsia="zh-CN" w:bidi="ar"/>
        </w:rPr>
        <w:t>2035</w:t>
      </w:r>
      <w:r>
        <w:rPr>
          <w:rFonts w:hint="default" w:ascii="Times New Roman" w:hAnsi="Times New Roman" w:eastAsia="黑体" w:cs="Times New Roman"/>
          <w:color w:val="auto"/>
          <w:kern w:val="0"/>
          <w:sz w:val="32"/>
          <w:szCs w:val="32"/>
          <w:lang w:val="en-US" w:eastAsia="zh-CN" w:bidi="ar"/>
        </w:rPr>
        <w:t>年远景目标</w:t>
      </w:r>
      <w:bookmarkEnd w:id="4"/>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按照党的十九大确定的全面建设社会主义现代化国家两个阶段的战略安排，体现高质量发展要求和以人民为中心的发展思想，发挥国家、省和洛阳市战略在嵩县的叠加作用，凝聚推进合力，实现高质量跨越式发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5" w:name="_Toc18033"/>
      <w:r>
        <w:rPr>
          <w:rFonts w:hint="default" w:ascii="Times New Roman" w:hAnsi="Times New Roman" w:eastAsia="仿宋" w:cs="Times New Roman"/>
          <w:b/>
          <w:color w:val="auto"/>
          <w:kern w:val="0"/>
          <w:sz w:val="32"/>
          <w:szCs w:val="32"/>
          <w:lang w:val="en-US" w:eastAsia="zh-CN" w:bidi="ar"/>
        </w:rPr>
        <w:t>第一节 指导思想</w:t>
      </w:r>
      <w:bookmarkEnd w:id="5"/>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初步考虑，“十四五”时期嵩县经济社会发展的指导思想是：以习近平新时代中国特色社会主义思想为指导，全面贯彻党的十九大和十九届二中、三中、四中、五中全会及中央经济工作会议精神，深入贯彻落实习总书记关于河南工作的重要讲话和批示指示精神，认真落实省委十届十二次全会暨省委经济工作会议、市委十一届十四次全会暨市委经济工作会议、县委十二届十四次全会暨县委经济工作会议精神，坚持稳中求进工作总基调，立足新发展阶段，贯彻新发展理念，融入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六稳</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工作、全面落实“六保”任务，大力实施“四大战略”、全力做好“五篇文章”，努力保持经济运行在合理区间，持续以党建高质量推动发展高质量，奋力谱写新时代中原更加出彩的嵩县绚丽篇章。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6" w:name="_Toc12778"/>
      <w:r>
        <w:rPr>
          <w:rFonts w:hint="default" w:ascii="Times New Roman" w:hAnsi="Times New Roman" w:eastAsia="仿宋" w:cs="Times New Roman"/>
          <w:b/>
          <w:color w:val="auto"/>
          <w:kern w:val="0"/>
          <w:sz w:val="32"/>
          <w:szCs w:val="32"/>
          <w:lang w:val="en-US" w:eastAsia="zh-CN" w:bidi="ar"/>
        </w:rPr>
        <w:t>第二节 发展定位</w:t>
      </w:r>
      <w:bookmarkEnd w:id="6"/>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立足国家、河南省和洛阳市对嵩县发展方向要求，结合“十三五”以来嵩县发展实际，进一步站位全局，拉高标杆，厚植发展优势，扩大比较优势，争创先行优势，提出“十四五”嵩县五个发展定位：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全国生态文明示范县</w:t>
      </w:r>
      <w:r>
        <w:rPr>
          <w:rFonts w:hint="default" w:ascii="Times New Roman" w:hAnsi="Times New Roman" w:eastAsia="仿宋_GB2312"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坚持尊重自然、顺应自然、保护自然，深化蓝天、碧水、净土保卫战，全面推进山水林田湖草沙系统治理，实现生态系统稳定健康，打造绿色生态屏障。优化山水景观功能形态，培育绿色城镇、美丽乡村，建设风景干线廊道，绘制嵩县优美画卷，实现生活环境整洁优美，人与自然和谐共生，创成全国生态文明示范县。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国家全域旅游示范区</w:t>
      </w:r>
      <w:r>
        <w:rPr>
          <w:rFonts w:hint="default" w:ascii="Times New Roman" w:hAnsi="Times New Roman" w:eastAsia="方正楷体_GBK"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持续大力实施“旅游富民”战略，依托广袤的山乡大地景观、丰厚的历史人文资源，以大山大水自然生态为基底，以优秀传统文化为灵魂，以路网、水网为轴带，以特色旅游镇（村）为节点，以公共服务体系为支撑，通过全面整合、提升、优化，形成以点带线、以线带面、多点支撑的发展格局，</w:t>
      </w:r>
      <w:r>
        <w:rPr>
          <w:rFonts w:hint="default" w:ascii="Times New Roman" w:hAnsi="Times New Roman" w:eastAsia="仿宋" w:cs="Times New Roman"/>
          <w:color w:val="auto"/>
          <w:kern w:val="0"/>
          <w:sz w:val="32"/>
          <w:szCs w:val="32"/>
          <w:lang w:val="en-US" w:eastAsia="zh-CN" w:bidi="ar"/>
        </w:rPr>
        <w:t>叫响“</w:t>
      </w:r>
      <w:r>
        <w:rPr>
          <w:rFonts w:hint="default" w:ascii="Times New Roman" w:hAnsi="Times New Roman" w:eastAsia="仿宋_GB2312" w:cs="Times New Roman"/>
          <w:color w:val="auto"/>
          <w:kern w:val="0"/>
          <w:sz w:val="32"/>
          <w:szCs w:val="32"/>
          <w:lang w:val="en-US" w:eastAsia="zh-CN" w:bidi="ar"/>
        </w:rPr>
        <w:t>山水之间</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理学之源”</w:t>
      </w:r>
      <w:r>
        <w:rPr>
          <w:rFonts w:hint="default" w:ascii="Times New Roman" w:hAnsi="Times New Roman" w:eastAsia="仿宋" w:cs="Times New Roman"/>
          <w:color w:val="auto"/>
          <w:kern w:val="0"/>
          <w:sz w:val="32"/>
          <w:szCs w:val="32"/>
          <w:lang w:val="en-US" w:eastAsia="zh-CN" w:bidi="ar"/>
        </w:rPr>
        <w:t>，打造</w:t>
      </w:r>
      <w:r>
        <w:rPr>
          <w:rFonts w:hint="default" w:ascii="Times New Roman" w:hAnsi="Times New Roman" w:eastAsia="仿宋_GB2312" w:cs="Times New Roman"/>
          <w:color w:val="auto"/>
          <w:kern w:val="0"/>
          <w:sz w:val="32"/>
          <w:szCs w:val="32"/>
          <w:lang w:val="en-US" w:eastAsia="zh-CN" w:bidi="ar"/>
        </w:rPr>
        <w:t xml:space="preserve">山水度假游、文化体验游、森林康养游、乡村体验游、特色节会游等五大特色旅游业态，成功创建国家全域旅游示范区。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中原健康养生试验区</w:t>
      </w:r>
      <w:r>
        <w:rPr>
          <w:rFonts w:hint="default" w:ascii="Times New Roman" w:hAnsi="Times New Roman" w:eastAsia="方正楷体_GBK"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挖掘嵩县山水康体健身和养生养老功能，依托重要生态景点、度假区开发养生养老据点，依托大山大水开发漂流、探险和体育健身产品。挖掘嵩县中医药养生养老功能，谋划建设洛阳中医药职业技术学院，开发中医保健、中医养生和绿色保健品，研发养生药膳和中医体疗产品，吸引亚健康群体和城市白领“治未病”，把嵩县打造成为中原中医药产学研康全链条试验区，引领全省健康养生事业发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河南城乡融合示范区</w:t>
      </w:r>
      <w:r>
        <w:rPr>
          <w:rFonts w:hint="default" w:ascii="Times New Roman" w:hAnsi="Times New Roman" w:eastAsia="方正楷体_GBK"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以实施乡村建设行动为抓手，加快推动城乡一体化发展，实现乡村与城市功能相互补充相互促进。依托中心城区、特色镇，加强产业导入、要素配置和服务功能提升，使城镇成为生产要素集聚和农村人口转移的主平台，实现以城带乡、以乡促城，建设城乡融合示范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洛阳都市圈绿色发展先行区。</w:t>
      </w:r>
      <w:r>
        <w:rPr>
          <w:rFonts w:hint="default" w:ascii="Times New Roman" w:hAnsi="Times New Roman" w:eastAsia="仿宋_GB2312" w:cs="Times New Roman"/>
          <w:color w:val="auto"/>
          <w:kern w:val="0"/>
          <w:sz w:val="32"/>
          <w:szCs w:val="32"/>
          <w:lang w:val="en-US" w:eastAsia="zh-CN" w:bidi="ar"/>
        </w:rPr>
        <w:t xml:space="preserve">牢固树立绿水青山就是金山银山理念，厚植嵩县生态优势，守住自然财富本底，筑牢经济财富之基。推进生态产业化，整合全县山水林田湖草沙与人文资源，在道路重要节点打造中心村和特色小镇，彰显产业优势，突出健康养生、生态品牌价值。大力发展乡村游农业游康养游，实现生态价值向经济价值转换；推进产业生态化，走低碳、环保、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集约发展之路，开展绿色矿山、绿色工厂、绿色园区基地创建，大力发展科技含量高和环境友好型产业，逐步实现产业生态化、现代化，率先建成洛阳都市圈绿色发展先行区。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7" w:name="_Toc26934"/>
      <w:r>
        <w:rPr>
          <w:rFonts w:hint="default" w:ascii="Times New Roman" w:hAnsi="Times New Roman" w:eastAsia="仿宋" w:cs="Times New Roman"/>
          <w:b/>
          <w:color w:val="auto"/>
          <w:kern w:val="0"/>
          <w:sz w:val="32"/>
          <w:szCs w:val="32"/>
          <w:lang w:val="en-US" w:eastAsia="zh-CN" w:bidi="ar"/>
        </w:rPr>
        <w:t>第三节 总体思路</w:t>
      </w:r>
      <w:bookmarkEnd w:id="7"/>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围绕“十四五”嵩县发展定位，结合新时期国家政策方向指引，今后五年嵩县经济社会发展总体思路概括为“一三四五”行动计划。即坚持“一个主题”、走在“三个前列”、实施“四大战略”、做好</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五篇文章</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坚持一个主题</w:t>
      </w:r>
      <w:r>
        <w:rPr>
          <w:rFonts w:hint="default" w:ascii="Times New Roman" w:hAnsi="Times New Roman" w:eastAsia="方正楷体_GBK"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即坚持高质量发展这一主题。以高质量发展为总揽，统筹推进产业转型升级、乡村振兴、生态保护，实现产业围绕高质量调结构、城建围绕高质量上档次、社会事业围绕高质量上水平的发展新格局。以党建高质量引领经济社会发展高质量，凝聚起推动改革发展的强大合力。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走在“三个前列”</w:t>
      </w:r>
      <w:r>
        <w:rPr>
          <w:rFonts w:hint="default" w:ascii="Times New Roman" w:hAnsi="Times New Roman" w:eastAsia="方正楷体_GBK"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即着力建设生态都市圈的支撑点，在践行</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两山</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理论上走在全市、乃至全省前列；形成一二三产融合发展新的增长点，在发展全域旅游上走在全市、乃至全省前列；建成巩固脱贫攻坚同乡村振兴有效衔接的示范点，在实施乡村振兴上走在全市、乃至全省前列。牢固树立“两山”理论，持续厚植嵩县生态优势，不断推进生态产业化、产业生态化。持续叫响“</w:t>
      </w:r>
      <w:r>
        <w:rPr>
          <w:rFonts w:hint="default" w:ascii="Times New Roman" w:hAnsi="Times New Roman" w:eastAsia="宋体" w:cs="Times New Roman"/>
          <w:color w:val="auto"/>
          <w:kern w:val="0"/>
          <w:sz w:val="32"/>
          <w:szCs w:val="32"/>
          <w:lang w:val="en-US" w:eastAsia="zh-CN" w:bidi="ar"/>
        </w:rPr>
        <w:t xml:space="preserve">5A </w:t>
      </w:r>
      <w:r>
        <w:rPr>
          <w:rFonts w:hint="default" w:ascii="Times New Roman" w:hAnsi="Times New Roman" w:eastAsia="仿宋_GB2312" w:cs="Times New Roman"/>
          <w:color w:val="auto"/>
          <w:kern w:val="0"/>
          <w:sz w:val="32"/>
          <w:szCs w:val="32"/>
          <w:lang w:val="en-US" w:eastAsia="zh-CN" w:bidi="ar"/>
        </w:rPr>
        <w:t>嵩县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全域旅游”品牌，延续嵩县脱贫攻坚机制体制和昂扬向上的精气神，加快巩固拓展脱贫攻坚成果同乡村振兴有效衔接，全面实现农业强、农村美、农民富。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实施“四大战略</w:t>
      </w:r>
      <w:r>
        <w:rPr>
          <w:rFonts w:hint="default" w:ascii="Times New Roman" w:hAnsi="Times New Roman" w:eastAsia="方正楷体_GBK"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即实施生态立县、产业强县、旅游富民、民生为本</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四大战略</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。以“四大战略”总揽嵩县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十四五</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经济社会高质量发展全局，作为全县贯彻新发展理念、开启社会主义现代化新征程的战略导向。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_GB2312" w:cs="Times New Roman"/>
          <w:b/>
          <w:color w:val="auto"/>
          <w:kern w:val="0"/>
          <w:sz w:val="32"/>
          <w:szCs w:val="32"/>
          <w:lang w:val="en-US" w:eastAsia="zh-CN" w:bidi="ar"/>
        </w:rPr>
        <w:t>做好“五篇文章”</w:t>
      </w:r>
      <w:r>
        <w:rPr>
          <w:rFonts w:hint="default" w:ascii="Times New Roman" w:hAnsi="Times New Roman" w:eastAsia="方正楷体_GBK"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即做好乡村全面振兴、产业培育壮大、新型城镇化、生态文明建设、全面深化改革“五篇文章”，作为统揽嵩县未来五年经济社会发展工作的总支撑。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8" w:name="_Toc475"/>
      <w:r>
        <w:rPr>
          <w:rFonts w:hint="default" w:ascii="Times New Roman" w:hAnsi="Times New Roman" w:eastAsia="仿宋_GB2312" w:cs="Times New Roman"/>
          <w:b/>
          <w:color w:val="auto"/>
          <w:kern w:val="0"/>
          <w:sz w:val="32"/>
          <w:szCs w:val="32"/>
          <w:lang w:val="en-US" w:eastAsia="zh-CN" w:bidi="ar"/>
        </w:rPr>
        <w:t>第四节 基本原则</w:t>
      </w:r>
      <w:bookmarkEnd w:id="8"/>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坚持党的全面领导。</w:t>
      </w:r>
      <w:r>
        <w:rPr>
          <w:rFonts w:hint="default" w:ascii="Times New Roman" w:hAnsi="Times New Roman" w:eastAsia="仿宋_GB2312" w:cs="Times New Roman"/>
          <w:color w:val="auto"/>
          <w:kern w:val="0"/>
          <w:sz w:val="32"/>
          <w:szCs w:val="32"/>
          <w:lang w:val="en-US" w:eastAsia="zh-CN" w:bidi="ar"/>
        </w:rPr>
        <w:t>坚持和完善党领导经济社会发展的体制机制，坚持和完善中国特色社会主义制度，不断提高贯彻新发展理念、构建新发展格局能力和水平，为</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十四五</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嵩县实现高质量发展提供根本保证。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坚持以人民为中心。</w:t>
      </w:r>
      <w:r>
        <w:rPr>
          <w:rFonts w:hint="default" w:ascii="Times New Roman" w:hAnsi="Times New Roman" w:eastAsia="仿宋_GB2312" w:cs="Times New Roman"/>
          <w:color w:val="auto"/>
          <w:kern w:val="0"/>
          <w:sz w:val="32"/>
          <w:szCs w:val="32"/>
          <w:lang w:val="en-US" w:eastAsia="zh-CN" w:bidi="ar"/>
        </w:rPr>
        <w:t xml:space="preserve">坚持人民主体地位，坚持共同富裕方向，始终做到发展为了人民、发展依靠人民、发展成果由人民共享，维护人民根本利益，激发全体人民积极性、主动性、创造性，促进社会公平，增进民生福祉，不断实现人民对美好生活的向往。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坚持新发展理念。</w:t>
      </w:r>
      <w:r>
        <w:rPr>
          <w:rFonts w:hint="default" w:ascii="Times New Roman" w:hAnsi="Times New Roman" w:eastAsia="仿宋_GB2312" w:cs="Times New Roman"/>
          <w:color w:val="auto"/>
          <w:kern w:val="0"/>
          <w:sz w:val="32"/>
          <w:szCs w:val="32"/>
          <w:lang w:val="en-US" w:eastAsia="zh-CN" w:bidi="ar"/>
        </w:rPr>
        <w:t xml:space="preserve">把新发展理念贯穿嵩县“十四五”发展全过程和各领域，构建新发展格局，切实转变发展方式，推动质量变革、效率变革、动力变革，实现更高质量、更有效率、更加公平、更可持续、更为安全的发展。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坚持深化改革开放。</w:t>
      </w:r>
      <w:r>
        <w:rPr>
          <w:rFonts w:hint="default" w:ascii="Times New Roman" w:hAnsi="Times New Roman" w:eastAsia="仿宋_GB2312" w:cs="Times New Roman"/>
          <w:color w:val="auto"/>
          <w:kern w:val="0"/>
          <w:sz w:val="32"/>
          <w:szCs w:val="32"/>
          <w:lang w:val="en-US" w:eastAsia="zh-CN" w:bidi="ar"/>
        </w:rPr>
        <w:t xml:space="preserve">坚定不移推进和扩大开放，加强嵩县治理体系和治理能力现代化建设，破除制约高质量发展、高品质生活的体制机制障碍，强化有利于提高资源配置效率、有利于调动全社会积极性的重大改革开放举措，持续增强发展动力和活力。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坚持系统观念。</w:t>
      </w:r>
      <w:r>
        <w:rPr>
          <w:rFonts w:hint="default" w:ascii="Times New Roman" w:hAnsi="Times New Roman" w:eastAsia="仿宋_GB2312" w:cs="Times New Roman"/>
          <w:color w:val="auto"/>
          <w:kern w:val="0"/>
          <w:sz w:val="32"/>
          <w:szCs w:val="32"/>
          <w:lang w:val="en-US" w:eastAsia="zh-CN" w:bidi="ar"/>
        </w:rPr>
        <w:t xml:space="preserve">加强前瞻性思考、全局性谋划、战略性布局、整体性推进，坚持全县一盘棋，着力固根基、扬优势、补短板、强弱项，注重防范化解重大风险挑战，实现发展质量、结构、规模、速度、效益、安全相统一。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9" w:name="_Toc14655"/>
      <w:r>
        <w:rPr>
          <w:rFonts w:hint="default" w:ascii="Times New Roman" w:hAnsi="Times New Roman" w:eastAsia="仿宋_GB2312" w:cs="Times New Roman"/>
          <w:b/>
          <w:color w:val="auto"/>
          <w:kern w:val="0"/>
          <w:sz w:val="32"/>
          <w:szCs w:val="32"/>
          <w:lang w:val="en-US" w:eastAsia="zh-CN" w:bidi="ar"/>
        </w:rPr>
        <w:t xml:space="preserve">第五节 </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十四五</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时期发展目标</w:t>
      </w:r>
      <w:bookmarkEnd w:id="9"/>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锚定</w:t>
      </w:r>
      <w:r>
        <w:rPr>
          <w:rFonts w:hint="default" w:ascii="Times New Roman" w:hAnsi="Times New Roman" w:eastAsia="宋体" w:cs="Times New Roman"/>
          <w:color w:val="auto"/>
          <w:kern w:val="0"/>
          <w:sz w:val="32"/>
          <w:szCs w:val="32"/>
          <w:lang w:val="en-US" w:eastAsia="zh-CN" w:bidi="ar"/>
        </w:rPr>
        <w:t>2035</w:t>
      </w:r>
      <w:r>
        <w:rPr>
          <w:rFonts w:hint="default" w:ascii="Times New Roman" w:hAnsi="Times New Roman" w:eastAsia="仿宋_GB2312" w:cs="Times New Roman"/>
          <w:color w:val="auto"/>
          <w:kern w:val="0"/>
          <w:sz w:val="32"/>
          <w:szCs w:val="32"/>
          <w:lang w:val="en-US" w:eastAsia="zh-CN" w:bidi="ar"/>
        </w:rPr>
        <w:t>远景目标，谋划“十四五”阶段性目标。经过未来五年的努力，实现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六个新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综合实力迈上新台阶。</w:t>
      </w:r>
      <w:r>
        <w:rPr>
          <w:rFonts w:hint="default" w:ascii="Times New Roman" w:hAnsi="Times New Roman" w:eastAsia="仿宋_GB2312" w:cs="Times New Roman"/>
          <w:color w:val="auto"/>
          <w:kern w:val="0"/>
          <w:sz w:val="32"/>
          <w:szCs w:val="32"/>
          <w:lang w:val="en-US" w:eastAsia="zh-CN" w:bidi="ar"/>
        </w:rPr>
        <w:t>初步考虑，全县主要经济指标年均增速高于全省和全市平均水平，力争地区生产总值突破</w:t>
      </w:r>
      <w:r>
        <w:rPr>
          <w:rFonts w:hint="default" w:ascii="Times New Roman" w:hAnsi="Times New Roman" w:eastAsia="宋体" w:cs="Times New Roman"/>
          <w:color w:val="auto"/>
          <w:kern w:val="0"/>
          <w:sz w:val="32"/>
          <w:szCs w:val="32"/>
          <w:lang w:val="en-US" w:eastAsia="zh-CN" w:bidi="ar"/>
        </w:rPr>
        <w:t>300</w:t>
      </w:r>
      <w:r>
        <w:rPr>
          <w:rFonts w:hint="default" w:ascii="Times New Roman" w:hAnsi="Times New Roman" w:eastAsia="仿宋_GB2312" w:cs="Times New Roman"/>
          <w:color w:val="auto"/>
          <w:kern w:val="0"/>
          <w:sz w:val="32"/>
          <w:szCs w:val="32"/>
          <w:lang w:val="en-US" w:eastAsia="zh-CN" w:bidi="ar"/>
        </w:rPr>
        <w:t>亿元、人均生产总值突破</w:t>
      </w:r>
      <w:r>
        <w:rPr>
          <w:rFonts w:hint="default" w:ascii="Times New Roman" w:hAnsi="Times New Roman" w:eastAsia="宋体" w:cs="Times New Roman"/>
          <w:color w:val="auto"/>
          <w:kern w:val="0"/>
          <w:sz w:val="32"/>
          <w:szCs w:val="32"/>
          <w:lang w:val="en-US" w:eastAsia="zh-CN" w:bidi="ar"/>
        </w:rPr>
        <w:t>50000</w:t>
      </w:r>
      <w:r>
        <w:rPr>
          <w:rFonts w:hint="default" w:ascii="Times New Roman" w:hAnsi="Times New Roman" w:eastAsia="仿宋_GB2312" w:cs="Times New Roman"/>
          <w:color w:val="auto"/>
          <w:kern w:val="0"/>
          <w:sz w:val="32"/>
          <w:szCs w:val="32"/>
          <w:lang w:val="en-US" w:eastAsia="zh-CN" w:bidi="ar"/>
        </w:rPr>
        <w:t>元、一般财政收入突破</w:t>
      </w:r>
      <w:r>
        <w:rPr>
          <w:rFonts w:hint="default" w:ascii="Times New Roman" w:hAnsi="Times New Roman" w:eastAsia="宋体" w:cs="Times New Roman"/>
          <w:color w:val="auto"/>
          <w:kern w:val="0"/>
          <w:sz w:val="32"/>
          <w:szCs w:val="32"/>
          <w:lang w:val="en-US" w:eastAsia="zh-CN" w:bidi="ar"/>
        </w:rPr>
        <w:t>15</w:t>
      </w:r>
      <w:r>
        <w:rPr>
          <w:rFonts w:hint="default" w:ascii="Times New Roman" w:hAnsi="Times New Roman" w:eastAsia="仿宋_GB2312" w:cs="Times New Roman"/>
          <w:color w:val="auto"/>
          <w:kern w:val="0"/>
          <w:sz w:val="32"/>
          <w:szCs w:val="32"/>
          <w:lang w:val="en-US" w:eastAsia="zh-CN" w:bidi="ar"/>
        </w:rPr>
        <w:t xml:space="preserve">亿元（年均增长高于全市1个百分点以上）。企业自主创新能力显著加强，产业基础能力和产业链现代化水平显著提升，经济发展全省排名晋位升级。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生态文明开创新局面。</w:t>
      </w:r>
      <w:r>
        <w:rPr>
          <w:rFonts w:hint="default" w:ascii="Times New Roman" w:hAnsi="Times New Roman" w:eastAsia="仿宋_GB2312" w:cs="Times New Roman"/>
          <w:color w:val="auto"/>
          <w:kern w:val="0"/>
          <w:sz w:val="32"/>
          <w:szCs w:val="32"/>
          <w:lang w:val="en-US" w:eastAsia="zh-CN" w:bidi="ar"/>
        </w:rPr>
        <w:t>绿水青山就是金山银山理念更加深入人心，生态文明制度体系基本建成，绿色生产方式和生活方式深入人心，资源利用效率显著提高。大气、水、土壤环境质量持续优化，突出环境问题全面消除，交通干线、水系生态廊道功能显著增强，城市宜居宜业，建成全国生态文明示范县、全国森林城市。</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乡村振兴迈出新步伐。</w:t>
      </w:r>
      <w:r>
        <w:rPr>
          <w:rFonts w:hint="default" w:ascii="Times New Roman" w:hAnsi="Times New Roman" w:eastAsia="仿宋_GB2312" w:cs="Times New Roman"/>
          <w:color w:val="auto"/>
          <w:kern w:val="0"/>
          <w:sz w:val="32"/>
          <w:szCs w:val="32"/>
          <w:lang w:val="en-US" w:eastAsia="zh-CN" w:bidi="ar"/>
        </w:rPr>
        <w:t xml:space="preserve">加快推进乡村产业覆盖、农业提质增效、产业联动发展，农业从增产导向转为提质导向，农耕文化得到活化传承，优秀思想观念和人文精神深入人心，乡村治理体系进一步健全，农民福祉不断改善，实现农业高质高效、乡村宜居宜业、农民富裕富足。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全域旅游实现新突破。</w:t>
      </w:r>
      <w:r>
        <w:rPr>
          <w:rFonts w:hint="default" w:ascii="Times New Roman" w:hAnsi="Times New Roman" w:eastAsia="仿宋_GB2312" w:cs="Times New Roman"/>
          <w:color w:val="auto"/>
          <w:kern w:val="0"/>
          <w:sz w:val="32"/>
          <w:szCs w:val="32"/>
          <w:lang w:val="en-US" w:eastAsia="zh-CN" w:bidi="ar"/>
        </w:rPr>
        <w:t>全县旅游发展格局和产业化体系更加优化，北部滨水文化休闲游、南部山地养生度假游联动发展，互促互进，</w:t>
      </w:r>
      <w:r>
        <w:rPr>
          <w:rFonts w:hint="default" w:ascii="Times New Roman" w:hAnsi="Times New Roman" w:eastAsia="宋体" w:cs="Times New Roman"/>
          <w:color w:val="auto"/>
          <w:kern w:val="0"/>
          <w:sz w:val="32"/>
          <w:szCs w:val="32"/>
          <w:lang w:val="en-US" w:eastAsia="zh-CN" w:bidi="ar"/>
        </w:rPr>
        <w:t>“5A</w:t>
      </w:r>
      <w:r>
        <w:rPr>
          <w:rFonts w:hint="default" w:ascii="Times New Roman" w:hAnsi="Times New Roman" w:eastAsia="仿宋_GB2312" w:cs="Times New Roman"/>
          <w:color w:val="auto"/>
          <w:kern w:val="0"/>
          <w:sz w:val="32"/>
          <w:szCs w:val="32"/>
          <w:lang w:val="en-US" w:eastAsia="zh-CN" w:bidi="ar"/>
        </w:rPr>
        <w:t>嵩县</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全域旅游</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成为展现嵩县独特魅力的靓丽品牌，文化旅游辐射带动能力显著提高，文旅产业规模进一步壮大，成为嵩县经济发展的支柱性产业。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营商环境取得新成效。</w:t>
      </w:r>
      <w:r>
        <w:rPr>
          <w:rFonts w:hint="default" w:ascii="Times New Roman" w:hAnsi="Times New Roman" w:eastAsia="仿宋_GB2312" w:cs="Times New Roman"/>
          <w:color w:val="auto"/>
          <w:kern w:val="0"/>
          <w:sz w:val="32"/>
          <w:szCs w:val="32"/>
          <w:lang w:val="en-US" w:eastAsia="zh-CN" w:bidi="ar"/>
        </w:rPr>
        <w:t xml:space="preserve">全面深化改革和法治建设协同推进，市场配置资源的决定性作用得到充分发挥，“亲”“清”新型政商关系进一步完善，非公有制经济健康发展和非公有制经济人士健康成长，开放步伐显著加快，投资环境显著改善，市场化、法治化的营商环境进一步优化。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人民幸福感实现新提升。</w:t>
      </w:r>
      <w:r>
        <w:rPr>
          <w:rFonts w:hint="default" w:ascii="Times New Roman" w:hAnsi="Times New Roman" w:eastAsia="仿宋_GB2312" w:cs="Times New Roman"/>
          <w:color w:val="auto"/>
          <w:kern w:val="0"/>
          <w:sz w:val="32"/>
          <w:szCs w:val="32"/>
          <w:lang w:val="en-US" w:eastAsia="zh-CN" w:bidi="ar"/>
        </w:rPr>
        <w:t xml:space="preserve">贯彻“以人民为中心”发展理念，坚持在发展中改善民生。大力发展教育事业，推动“健康嵩县”提质提速，推进文化繁荣兴盛，加强社会保障体系建设，基本民生底线不断夯实，重点领域改革取得积极进展，社会公共服务供给能力全面提升，群众多层次多样化需求得到更好满足，人民获得感幸福感安全感不断增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 w:name="_Toc6225"/>
      <w:r>
        <w:rPr>
          <w:rFonts w:hint="default" w:ascii="Times New Roman" w:hAnsi="Times New Roman" w:eastAsia="仿宋_GB2312" w:cs="Times New Roman"/>
          <w:b/>
          <w:color w:val="auto"/>
          <w:kern w:val="0"/>
          <w:sz w:val="32"/>
          <w:szCs w:val="32"/>
          <w:lang w:val="en-US" w:eastAsia="zh-CN" w:bidi="ar"/>
        </w:rPr>
        <w:t>第六节 到二</w:t>
      </w:r>
      <w:r>
        <w:rPr>
          <w:rFonts w:hint="default" w:ascii="Times New Roman" w:hAnsi="Times New Roman" w:eastAsia="宋体" w:cs="Times New Roman"/>
          <w:b/>
          <w:color w:val="auto"/>
          <w:kern w:val="0"/>
          <w:sz w:val="32"/>
          <w:szCs w:val="32"/>
          <w:lang w:val="en-US" w:eastAsia="zh-CN" w:bidi="ar"/>
        </w:rPr>
        <w:t>〇</w:t>
      </w:r>
      <w:r>
        <w:rPr>
          <w:rFonts w:hint="default" w:ascii="Times New Roman" w:hAnsi="Times New Roman" w:eastAsia="仿宋_GB2312" w:cs="Times New Roman"/>
          <w:b/>
          <w:color w:val="auto"/>
          <w:kern w:val="0"/>
          <w:sz w:val="32"/>
          <w:szCs w:val="32"/>
          <w:lang w:val="en-US" w:eastAsia="zh-CN" w:bidi="ar"/>
        </w:rPr>
        <w:t>三五年基本建成社会主义现代化嵩县远景目标</w:t>
      </w:r>
      <w:bookmarkEnd w:id="10"/>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展望二</w:t>
      </w:r>
      <w:r>
        <w:rPr>
          <w:rFonts w:hint="default" w:ascii="Times New Roman" w:hAnsi="Times New Roman" w:eastAsia="宋体" w:cs="Times New Roman"/>
          <w:color w:val="auto"/>
          <w:kern w:val="0"/>
          <w:sz w:val="32"/>
          <w:szCs w:val="32"/>
          <w:lang w:val="en-US" w:eastAsia="zh-CN" w:bidi="ar"/>
        </w:rPr>
        <w:t>〇</w:t>
      </w:r>
      <w:r>
        <w:rPr>
          <w:rFonts w:hint="default" w:ascii="Times New Roman" w:hAnsi="Times New Roman" w:eastAsia="仿宋_GB2312" w:cs="Times New Roman"/>
          <w:color w:val="auto"/>
          <w:kern w:val="0"/>
          <w:sz w:val="32"/>
          <w:szCs w:val="32"/>
          <w:lang w:val="en-US" w:eastAsia="zh-CN" w:bidi="ar"/>
        </w:rPr>
        <w:t>三五年，社会主义现代化嵩县建设更加出彩。</w:t>
      </w:r>
      <w:r>
        <w:rPr>
          <w:rFonts w:hint="default" w:ascii="Times New Roman" w:hAnsi="Times New Roman" w:eastAsia="仿宋_GB2312" w:cs="Times New Roman"/>
          <w:b/>
          <w:color w:val="auto"/>
          <w:kern w:val="0"/>
          <w:sz w:val="32"/>
          <w:szCs w:val="32"/>
          <w:lang w:val="en-US" w:eastAsia="zh-CN" w:bidi="ar"/>
        </w:rPr>
        <w:t>基本建成“两强三高一家园”。“两强”即：生态强县。</w:t>
      </w:r>
      <w:r>
        <w:rPr>
          <w:rFonts w:hint="default" w:ascii="Times New Roman" w:hAnsi="Times New Roman" w:eastAsia="仿宋_GB2312" w:cs="Times New Roman"/>
          <w:color w:val="auto"/>
          <w:kern w:val="0"/>
          <w:sz w:val="32"/>
          <w:szCs w:val="32"/>
          <w:lang w:val="en-US" w:eastAsia="zh-CN" w:bidi="ar"/>
        </w:rPr>
        <w:t>生态涵养县建设卓有成效，基本实现蓝天白云繁星闪烁，田园风光鸟语花香，成为都市白领过“绿领”生活和外地居民休闲、旅居、体验的重要目的地。</w:t>
      </w:r>
      <w:r>
        <w:rPr>
          <w:rFonts w:hint="default" w:ascii="Times New Roman" w:hAnsi="Times New Roman" w:eastAsia="仿宋_GB2312" w:cs="Times New Roman"/>
          <w:b/>
          <w:color w:val="auto"/>
          <w:kern w:val="0"/>
          <w:sz w:val="32"/>
          <w:szCs w:val="32"/>
          <w:lang w:val="en-US" w:eastAsia="zh-CN" w:bidi="ar"/>
        </w:rPr>
        <w:t>旅游强县</w:t>
      </w:r>
      <w:r>
        <w:rPr>
          <w:rFonts w:hint="default" w:ascii="Times New Roman" w:hAnsi="Times New Roman" w:eastAsia="仿宋_GB2312" w:cs="Times New Roman"/>
          <w:color w:val="auto"/>
          <w:kern w:val="0"/>
          <w:sz w:val="32"/>
          <w:szCs w:val="32"/>
          <w:lang w:val="en-US" w:eastAsia="zh-CN" w:bidi="ar"/>
        </w:rPr>
        <w:t>。山水游、文化游、节会游、乡村游、观光游、研学游、森林康养游百花齐放，“</w:t>
      </w:r>
      <w:r>
        <w:rPr>
          <w:rFonts w:hint="default" w:ascii="Times New Roman" w:hAnsi="Times New Roman" w:eastAsia="宋体" w:cs="Times New Roman"/>
          <w:color w:val="auto"/>
          <w:kern w:val="0"/>
          <w:sz w:val="32"/>
          <w:szCs w:val="32"/>
          <w:lang w:val="en-US" w:eastAsia="zh-CN" w:bidi="ar"/>
        </w:rPr>
        <w:t xml:space="preserve">5A </w:t>
      </w:r>
      <w:r>
        <w:rPr>
          <w:rFonts w:hint="default" w:ascii="Times New Roman" w:hAnsi="Times New Roman" w:eastAsia="仿宋_GB2312" w:cs="Times New Roman"/>
          <w:color w:val="auto"/>
          <w:kern w:val="0"/>
          <w:sz w:val="32"/>
          <w:szCs w:val="32"/>
          <w:lang w:val="en-US" w:eastAsia="zh-CN" w:bidi="ar"/>
        </w:rPr>
        <w:t>嵩县</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全域旅游”品牌知名度享誉全国，旅游业对群众增收贡献率大幅提高。</w:t>
      </w:r>
      <w:r>
        <w:rPr>
          <w:rFonts w:hint="default" w:ascii="Times New Roman" w:hAnsi="Times New Roman" w:eastAsia="仿宋_GB2312" w:cs="Times New Roman"/>
          <w:b/>
          <w:color w:val="auto"/>
          <w:kern w:val="0"/>
          <w:sz w:val="32"/>
          <w:szCs w:val="32"/>
          <w:lang w:val="en-US" w:eastAsia="zh-CN" w:bidi="ar"/>
        </w:rPr>
        <w:t>“三高”即：中原绿色经济高地。</w:t>
      </w:r>
      <w:r>
        <w:rPr>
          <w:rFonts w:hint="default" w:ascii="Times New Roman" w:hAnsi="Times New Roman" w:eastAsia="仿宋_GB2312" w:cs="Times New Roman"/>
          <w:color w:val="auto"/>
          <w:kern w:val="0"/>
          <w:sz w:val="32"/>
          <w:szCs w:val="32"/>
          <w:lang w:val="en-US" w:eastAsia="zh-CN" w:bidi="ar"/>
        </w:rPr>
        <w:t>打造“两山”样板，将生态优势转换为经济发展优势，走生态产业化、产业生态化道路。</w:t>
      </w:r>
      <w:r>
        <w:rPr>
          <w:rFonts w:hint="default" w:ascii="Times New Roman" w:hAnsi="Times New Roman" w:eastAsia="仿宋_GB2312" w:cs="Times New Roman"/>
          <w:b/>
          <w:color w:val="auto"/>
          <w:kern w:val="0"/>
          <w:sz w:val="32"/>
          <w:szCs w:val="32"/>
          <w:lang w:val="en-US" w:eastAsia="zh-CN" w:bidi="ar"/>
        </w:rPr>
        <w:t>河南宜居宜业高地。</w:t>
      </w:r>
      <w:r>
        <w:rPr>
          <w:rFonts w:hint="default" w:ascii="Times New Roman" w:hAnsi="Times New Roman" w:eastAsia="仿宋_GB2312" w:cs="Times New Roman"/>
          <w:color w:val="auto"/>
          <w:kern w:val="0"/>
          <w:sz w:val="32"/>
          <w:szCs w:val="32"/>
          <w:lang w:val="en-US" w:eastAsia="zh-CN" w:bidi="ar"/>
        </w:rPr>
        <w:t>大气环境、水环境、土壤环境全省领先，政务环境、营商环境高效一流，人文环境健康和谐，创新创业氛围浓厚，成为河南居民置业创业和外来客商投资兴业的乐土。</w:t>
      </w:r>
      <w:r>
        <w:rPr>
          <w:rFonts w:hint="default" w:ascii="Times New Roman" w:hAnsi="Times New Roman" w:eastAsia="仿宋_GB2312" w:cs="Times New Roman"/>
          <w:b/>
          <w:color w:val="auto"/>
          <w:kern w:val="0"/>
          <w:sz w:val="32"/>
          <w:szCs w:val="32"/>
          <w:lang w:val="en-US" w:eastAsia="zh-CN" w:bidi="ar"/>
        </w:rPr>
        <w:t>豫西乡村振兴高地</w:t>
      </w:r>
      <w:r>
        <w:rPr>
          <w:rFonts w:hint="default" w:ascii="Times New Roman" w:hAnsi="Times New Roman" w:eastAsia="仿宋_GB2312" w:cs="Times New Roman"/>
          <w:color w:val="auto"/>
          <w:kern w:val="0"/>
          <w:sz w:val="32"/>
          <w:szCs w:val="32"/>
          <w:lang w:val="en-US" w:eastAsia="zh-CN" w:bidi="ar"/>
        </w:rPr>
        <w:t>。加快实现巩固拓展脱贫攻坚成果同乡村振兴有效衔接，全力推动乡村振兴，让农业成为有奔头的产业，让农民成为有吸引力的职业，让农村成为安居乐业的美丽家园，乡村振兴走在豫西山区县市前列。“</w:t>
      </w:r>
      <w:r>
        <w:rPr>
          <w:rFonts w:hint="default" w:ascii="Times New Roman" w:hAnsi="Times New Roman" w:eastAsia="仿宋_GB2312" w:cs="Times New Roman"/>
          <w:b/>
          <w:color w:val="auto"/>
          <w:kern w:val="0"/>
          <w:sz w:val="32"/>
          <w:szCs w:val="32"/>
          <w:lang w:val="en-US" w:eastAsia="zh-CN" w:bidi="ar"/>
        </w:rPr>
        <w:t>一家园”即：人民幸福美好家园。</w:t>
      </w:r>
      <w:r>
        <w:rPr>
          <w:rFonts w:hint="default" w:ascii="Times New Roman" w:hAnsi="Times New Roman" w:eastAsia="仿宋_GB2312" w:cs="Times New Roman"/>
          <w:color w:val="auto"/>
          <w:kern w:val="0"/>
          <w:sz w:val="32"/>
          <w:szCs w:val="32"/>
          <w:lang w:val="en-US" w:eastAsia="zh-CN" w:bidi="ar"/>
        </w:rPr>
        <w:t>居民收入增长和经济增长基本同步，低收入群体增收成果巩固拓展，城乡居民收入差距持续缩小，基本形成中等收入群体为主体的橄榄型社会结构，人民群众对嵩县现代化建设的获得感、幸福感、自豪感显著增强。</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lang w:val="en-US" w:eastAsia="zh-CN" w:bidi="ar"/>
        </w:rPr>
        <w:t>山水度假游、文化体验游、森林康养游、乡村休闲游、特色节会游百花齐放，“</w:t>
      </w:r>
      <w:r>
        <w:rPr>
          <w:rFonts w:hint="default" w:ascii="Times New Roman" w:hAnsi="Times New Roman" w:eastAsia="宋体" w:cs="Times New Roman"/>
          <w:color w:val="auto"/>
          <w:kern w:val="0"/>
          <w:sz w:val="32"/>
          <w:szCs w:val="32"/>
          <w:lang w:val="en-US" w:eastAsia="zh-CN" w:bidi="ar"/>
        </w:rPr>
        <w:t xml:space="preserve">5A </w:t>
      </w:r>
      <w:r>
        <w:rPr>
          <w:rFonts w:hint="default" w:ascii="Times New Roman" w:hAnsi="Times New Roman" w:eastAsia="仿宋_GB2312" w:cs="Times New Roman"/>
          <w:color w:val="auto"/>
          <w:kern w:val="0"/>
          <w:sz w:val="32"/>
          <w:szCs w:val="32"/>
          <w:lang w:val="en-US" w:eastAsia="zh-CN" w:bidi="ar"/>
        </w:rPr>
        <w:t>嵩县</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全域旅游”品牌知名度享誉全国，旅游业对群众增收贡献率大幅提高。</w:t>
      </w:r>
      <w:r>
        <w:rPr>
          <w:rFonts w:hint="default" w:ascii="Times New Roman" w:hAnsi="Times New Roman" w:eastAsia="仿宋_GB2312" w:cs="Times New Roman"/>
          <w:b/>
          <w:color w:val="auto"/>
          <w:kern w:val="0"/>
          <w:sz w:val="32"/>
          <w:szCs w:val="32"/>
          <w:lang w:val="en-US" w:eastAsia="zh-CN" w:bidi="ar"/>
        </w:rPr>
        <w:t>“三高”即：中原绿色经济高地。</w:t>
      </w:r>
      <w:r>
        <w:rPr>
          <w:rFonts w:hint="default" w:ascii="Times New Roman" w:hAnsi="Times New Roman" w:eastAsia="仿宋_GB2312" w:cs="Times New Roman"/>
          <w:color w:val="auto"/>
          <w:kern w:val="0"/>
          <w:sz w:val="32"/>
          <w:szCs w:val="32"/>
          <w:lang w:val="en-US" w:eastAsia="zh-CN" w:bidi="ar"/>
        </w:rPr>
        <w:t>嵩县绿水青山建得更美，生态优势转换为经济优势的通道不断拓宽；嵩县金山银山做得更大，经济增长促进生态保护的模式不断创新。绿色成为嵩县最动人的色彩，绿色发展成为全民共识。</w:t>
      </w:r>
      <w:r>
        <w:rPr>
          <w:rFonts w:hint="default" w:ascii="Times New Roman" w:hAnsi="Times New Roman" w:eastAsia="仿宋_GB2312" w:cs="Times New Roman"/>
          <w:b/>
          <w:color w:val="auto"/>
          <w:kern w:val="0"/>
          <w:sz w:val="32"/>
          <w:szCs w:val="32"/>
          <w:lang w:val="en-US" w:eastAsia="zh-CN" w:bidi="ar"/>
        </w:rPr>
        <w:t>河南宜居宜业高地。</w:t>
      </w:r>
      <w:r>
        <w:rPr>
          <w:rFonts w:hint="default" w:ascii="Times New Roman" w:hAnsi="Times New Roman" w:eastAsia="仿宋_GB2312" w:cs="Times New Roman"/>
          <w:color w:val="auto"/>
          <w:kern w:val="0"/>
          <w:sz w:val="32"/>
          <w:szCs w:val="32"/>
          <w:lang w:val="en-US" w:eastAsia="zh-CN" w:bidi="ar"/>
        </w:rPr>
        <w:t>大气环境、水环境、土壤环境全省领先，政务环境、营商环境高效一流，人文环境健康和谐，创新创业氛围浓厚，成为河南居民置业创业和外来客商投资兴业的乐土。</w:t>
      </w:r>
      <w:r>
        <w:rPr>
          <w:rFonts w:hint="default" w:ascii="Times New Roman" w:hAnsi="Times New Roman" w:eastAsia="仿宋_GB2312" w:cs="Times New Roman"/>
          <w:b/>
          <w:color w:val="auto"/>
          <w:kern w:val="0"/>
          <w:sz w:val="32"/>
          <w:szCs w:val="32"/>
          <w:lang w:val="en-US" w:eastAsia="zh-CN" w:bidi="ar"/>
        </w:rPr>
        <w:t>豫西乡村振兴高地</w:t>
      </w:r>
      <w:r>
        <w:rPr>
          <w:rFonts w:hint="default" w:ascii="Times New Roman" w:hAnsi="Times New Roman" w:eastAsia="仿宋_GB2312" w:cs="Times New Roman"/>
          <w:color w:val="auto"/>
          <w:kern w:val="0"/>
          <w:sz w:val="32"/>
          <w:szCs w:val="32"/>
          <w:lang w:val="en-US" w:eastAsia="zh-CN" w:bidi="ar"/>
        </w:rPr>
        <w:t>。农业从增产导向转为提质导向，农村形成人与自然和谐共生新发展格局，农民实现对美好生活的向往。农业高质高效、乡村宜居宜业、农民富裕富足的目标基本达到，“三农”建设走在豫西山区县市前列。“</w:t>
      </w:r>
      <w:r>
        <w:rPr>
          <w:rFonts w:hint="default" w:ascii="Times New Roman" w:hAnsi="Times New Roman" w:eastAsia="仿宋_GB2312" w:cs="Times New Roman"/>
          <w:b/>
          <w:color w:val="auto"/>
          <w:kern w:val="0"/>
          <w:sz w:val="32"/>
          <w:szCs w:val="32"/>
          <w:lang w:val="en-US" w:eastAsia="zh-CN" w:bidi="ar"/>
        </w:rPr>
        <w:t>一家园”即：人民幸福美好家园。</w:t>
      </w:r>
      <w:r>
        <w:rPr>
          <w:rFonts w:hint="default" w:ascii="Times New Roman" w:hAnsi="Times New Roman" w:eastAsia="仿宋_GB2312" w:cs="Times New Roman"/>
          <w:color w:val="auto"/>
          <w:kern w:val="0"/>
          <w:sz w:val="32"/>
          <w:szCs w:val="32"/>
          <w:lang w:val="en-US" w:eastAsia="zh-CN" w:bidi="ar"/>
        </w:rPr>
        <w:t>居民收入增长和经济增长基本同步，低收入群体增收成果巩固拓展，城乡居民收入差距持续缩小，基本形成中等收入群体为主体的橄榄型社会结构，人民群众对嵩县现代化建设的获得感、幸福感、自豪感显著增强。</w:t>
      </w:r>
      <w:r>
        <w:rPr>
          <w:rFonts w:hint="default" w:ascii="Times New Roman" w:hAnsi="Times New Roman" w:eastAsia="仿宋_GB2312" w:cs="Times New Roman"/>
          <w:color w:val="auto"/>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8"/>
          <w:szCs w:val="28"/>
          <w:lang w:val="en-US" w:eastAsia="zh-CN" w:bidi="ar"/>
        </w:rPr>
        <w:t xml:space="preserve"> </w:t>
      </w:r>
    </w:p>
    <w:tbl>
      <w:tblPr>
        <w:tblStyle w:val="5"/>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60"/>
        <w:gridCol w:w="2685"/>
        <w:gridCol w:w="1305"/>
        <w:gridCol w:w="141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04" w:type="dxa"/>
            <w:gridSpan w:val="6"/>
            <w:noWrap w:val="0"/>
            <w:vAlign w:val="top"/>
          </w:tcPr>
          <w:p>
            <w:pPr>
              <w:pStyle w:val="2"/>
              <w:pageBreakBefore w:val="0"/>
              <w:kinsoku/>
              <w:wordWrap/>
              <w:bidi w:val="0"/>
              <w:spacing w:beforeAutospacing="0" w:afterAutospacing="0" w:line="580" w:lineRule="exact"/>
              <w:ind w:lef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方正黑体简体" w:cs="Times New Roman"/>
                <w:color w:val="auto"/>
                <w:sz w:val="30"/>
                <w:szCs w:val="30"/>
                <w:highlight w:val="none"/>
              </w:rPr>
              <w:t>专栏</w:t>
            </w:r>
            <w:r>
              <w:rPr>
                <w:rFonts w:hint="default" w:ascii="Times New Roman" w:hAnsi="Times New Roman" w:eastAsia="方正黑体简体" w:cs="Times New Roman"/>
                <w:color w:val="auto"/>
                <w:sz w:val="30"/>
                <w:szCs w:val="30"/>
                <w:highlight w:val="none"/>
                <w:lang w:val="en-US" w:eastAsia="zh-CN"/>
              </w:rPr>
              <w:t>2</w:t>
            </w:r>
            <w:r>
              <w:rPr>
                <w:rFonts w:hint="default" w:ascii="Times New Roman" w:hAnsi="Times New Roman" w:eastAsia="方正黑体简体" w:cs="Times New Roman"/>
                <w:color w:val="auto"/>
                <w:sz w:val="30"/>
                <w:szCs w:val="30"/>
                <w:highlight w:val="none"/>
              </w:rPr>
              <w:t xml:space="preserve">  </w:t>
            </w:r>
            <w:r>
              <w:rPr>
                <w:rFonts w:hint="default" w:ascii="Times New Roman" w:hAnsi="Times New Roman" w:eastAsia="方正黑体简体" w:cs="Times New Roman"/>
                <w:color w:val="auto"/>
                <w:sz w:val="30"/>
                <w:szCs w:val="30"/>
                <w:highlight w:val="none"/>
                <w:lang w:eastAsia="zh-CN"/>
              </w:rPr>
              <w:t>“</w:t>
            </w:r>
            <w:r>
              <w:rPr>
                <w:rFonts w:hint="default" w:ascii="Times New Roman" w:hAnsi="Times New Roman" w:eastAsia="方正黑体简体" w:cs="Times New Roman"/>
                <w:color w:val="auto"/>
                <w:sz w:val="30"/>
                <w:szCs w:val="30"/>
                <w:highlight w:val="none"/>
              </w:rPr>
              <w:t>十</w:t>
            </w:r>
            <w:r>
              <w:rPr>
                <w:rFonts w:hint="default" w:ascii="Times New Roman" w:hAnsi="Times New Roman" w:eastAsia="方正黑体简体" w:cs="Times New Roman"/>
                <w:color w:val="auto"/>
                <w:sz w:val="30"/>
                <w:szCs w:val="30"/>
                <w:highlight w:val="none"/>
                <w:lang w:eastAsia="zh-CN"/>
              </w:rPr>
              <w:t>四</w:t>
            </w:r>
            <w:r>
              <w:rPr>
                <w:rFonts w:hint="default" w:ascii="Times New Roman" w:hAnsi="Times New Roman" w:eastAsia="方正黑体简体" w:cs="Times New Roman"/>
                <w:color w:val="auto"/>
                <w:sz w:val="30"/>
                <w:szCs w:val="30"/>
                <w:highlight w:val="none"/>
              </w:rPr>
              <w:t>五”经济社会主要发展目标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一级指标</w:t>
            </w: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二级指标</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2020年</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绝对数</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2025年</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目标值</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2035年</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经济发展</w:t>
            </w: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地区生产总值（亿元）</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20</w:t>
            </w:r>
            <w:r>
              <w:rPr>
                <w:rFonts w:hint="eastAsia" w:ascii="Times New Roman" w:hAnsi="Times New Roman" w:eastAsia="仿宋_GB2312" w:cs="Times New Roman"/>
                <w:i w:val="0"/>
                <w:color w:val="auto"/>
                <w:kern w:val="0"/>
                <w:sz w:val="24"/>
                <w:szCs w:val="24"/>
                <w:highlight w:val="none"/>
                <w:u w:val="none"/>
                <w:lang w:val="en-US" w:eastAsia="zh-CN" w:bidi="ar"/>
              </w:rPr>
              <w:t>5</w:t>
            </w:r>
            <w:bookmarkStart w:id="128" w:name="_GoBack"/>
            <w:bookmarkEnd w:id="128"/>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300(8.4%)</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630(7.8%)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top"/>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人均生产总值（万元）</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38000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50000</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111300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both"/>
              <w:textAlignment w:val="top"/>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公共财政预算收入（亿元）</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10.0028</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全社会固定资产投资额增速（%）</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6.7</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7.5</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社会消费品零售额（亿元）</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120.7</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185.7(9%)</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440(9%)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主板和新三板挂牌企业数量（家）</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1-2</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科技创新</w:t>
            </w: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投入研发强度（%）</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0.35</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0.5</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科学研究开发机构（个）</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3</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3</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科技公共服务平台（个）</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院士工作站</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省级创新平台（个）</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15</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国家级创新平台（个）</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开放发展</w:t>
            </w: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国际科技合作重大项目（个）</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3</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实际吸收省外境内直接投资额（亿元）</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53.46</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66.5</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进出口贸易额（亿元）</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0.023</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0.033（8%）</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生态建设</w:t>
            </w: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用水总量（亿立方米）</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0.6653</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万元 GDP 能耗（吨标准煤/万元 GDP）</w:t>
            </w:r>
          </w:p>
        </w:tc>
        <w:tc>
          <w:tcPr>
            <w:tcW w:w="130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完成市</w:t>
            </w:r>
          </w:p>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下达目标</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完成市</w:t>
            </w:r>
          </w:p>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下达目标</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完成市</w:t>
            </w:r>
          </w:p>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万元地区生产总值水耗（立方米/ 万元 GDP）</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21.32</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PM2.5 浓度（微克/立方米）</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35</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森林覆盖率（%）</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71.12</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72.5以上</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全年空气质量优良天数比例（%）</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87.60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地表水水质优良（达到或优于Ⅲ 类）</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Ⅱ类</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12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主要污染物 排放</w:t>
            </w:r>
          </w:p>
        </w:tc>
        <w:tc>
          <w:tcPr>
            <w:tcW w:w="2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化学需氧量排 放量（万吨）</w:t>
            </w:r>
          </w:p>
        </w:tc>
        <w:tc>
          <w:tcPr>
            <w:tcW w:w="13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0.069</w:t>
            </w:r>
          </w:p>
        </w:tc>
        <w:tc>
          <w:tcPr>
            <w:tcW w:w="1410"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c>
          <w:tcPr>
            <w:tcW w:w="1515"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完成市</w:t>
            </w:r>
          </w:p>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12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2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二氧化硫排放 量（万吨）</w:t>
            </w:r>
          </w:p>
        </w:tc>
        <w:tc>
          <w:tcPr>
            <w:tcW w:w="13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rPr>
            </w:pPr>
          </w:p>
        </w:tc>
        <w:tc>
          <w:tcPr>
            <w:tcW w:w="14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eastAsia="zh-CN"/>
              </w:rPr>
            </w:pPr>
          </w:p>
        </w:tc>
        <w:tc>
          <w:tcPr>
            <w:tcW w:w="15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生活垃圾无害化处理率（%）</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100</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污水处理率（%）</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94.80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95.50</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97以上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民生保障</w:t>
            </w: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both"/>
              <w:textAlignment w:val="top"/>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居民人均可支配收入及年均增长率 （元、%）</w:t>
            </w:r>
          </w:p>
        </w:tc>
        <w:tc>
          <w:tcPr>
            <w:tcW w:w="130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leftChars="0"/>
              <w:jc w:val="center"/>
              <w:rPr>
                <w:rFonts w:hint="default" w:ascii="Times New Roman" w:hAnsi="Times New Roman" w:eastAsia="仿宋_GB2312" w:cs="Times New Roman"/>
                <w:color w:val="auto"/>
                <w:kern w:val="2"/>
                <w:sz w:val="24"/>
                <w:szCs w:val="24"/>
                <w:highlight w:val="none"/>
                <w:lang w:val="en-US" w:eastAsia="zh-CN" w:bidi="ar-SA"/>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30000</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(8.5%)</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67600</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12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both"/>
              <w:textAlignment w:val="top"/>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城乡居民可支配收入年均增速（元、%）</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p>
        </w:tc>
        <w:tc>
          <w:tcPr>
            <w:tcW w:w="2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both"/>
              <w:textAlignment w:val="top"/>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城镇居民可支配收入年均增速（元、%）</w:t>
            </w:r>
          </w:p>
        </w:tc>
        <w:tc>
          <w:tcPr>
            <w:tcW w:w="130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leftChars="0"/>
              <w:jc w:val="center"/>
              <w:rPr>
                <w:rFonts w:hint="default" w:ascii="Times New Roman" w:hAnsi="Times New Roman" w:eastAsia="仿宋_GB2312" w:cs="Times New Roman"/>
                <w:color w:val="auto"/>
                <w:kern w:val="2"/>
                <w:sz w:val="24"/>
                <w:szCs w:val="24"/>
                <w:highlight w:val="none"/>
                <w:lang w:val="en-US" w:eastAsia="zh-CN" w:bidi="ar-SA"/>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47100(8%)</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101000(8%)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12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2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both"/>
              <w:textAlignment w:val="top"/>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农村居民可支配收入年均增速（元、%）</w:t>
            </w:r>
          </w:p>
        </w:tc>
        <w:tc>
          <w:tcPr>
            <w:tcW w:w="130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leftChars="0"/>
              <w:jc w:val="center"/>
              <w:rPr>
                <w:rFonts w:hint="default" w:ascii="Times New Roman" w:hAnsi="Times New Roman" w:eastAsia="仿宋_GB2312" w:cs="Times New Roman"/>
                <w:color w:val="auto"/>
                <w:kern w:val="2"/>
                <w:sz w:val="24"/>
                <w:szCs w:val="24"/>
                <w:highlight w:val="none"/>
                <w:lang w:val="en-US" w:eastAsia="zh-CN" w:bidi="ar-SA"/>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21550(9%)</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lef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color w:val="auto"/>
                <w:kern w:val="0"/>
                <w:sz w:val="24"/>
                <w:szCs w:val="24"/>
                <w:highlight w:val="none"/>
                <w:u w:val="none"/>
                <w:lang w:val="en-US" w:eastAsia="zh-CN" w:bidi="ar"/>
              </w:rPr>
              <w:t>51000(9%)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城镇登记失业率（%）</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2.80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≤2.8</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城镇化率（%）</w:t>
            </w:r>
          </w:p>
        </w:tc>
        <w:tc>
          <w:tcPr>
            <w:tcW w:w="1305" w:type="dxa"/>
            <w:noWrap w:val="0"/>
            <w:vAlign w:val="center"/>
          </w:tcPr>
          <w:p>
            <w:pPr>
              <w:keepNext w:val="0"/>
              <w:keepLines w:val="0"/>
              <w:pageBreakBefore w:val="0"/>
              <w:widowControl/>
              <w:kinsoku/>
              <w:wordWrap/>
              <w:overflowPunct/>
              <w:topLinePunct w:val="0"/>
              <w:autoSpaceDE/>
              <w:autoSpaceDN/>
              <w:bidi w:val="0"/>
              <w:adjustRightInd/>
              <w:snapToGrid/>
              <w:spacing w:afterAutospacing="0" w:line="340" w:lineRule="exact"/>
              <w:ind w:left="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40</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49（1.8%）</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57（1.8%）70%以上（市）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公共文化设施覆盖率（%）</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97</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100</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新增就业人数（万人）</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2.79</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1.75</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千人拥有医疗床位数（张）</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6.48</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7</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千人拥有养老床位数（张）</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27</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达到</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上级要求</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达到</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color w:val="auto"/>
                <w:kern w:val="0"/>
                <w:sz w:val="24"/>
                <w:szCs w:val="24"/>
                <w:highlight w:val="none"/>
                <w:u w:val="none"/>
                <w:lang w:val="en-US" w:eastAsia="zh-CN" w:bidi="ar"/>
              </w:rPr>
              <w:t>上级要求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千人拥有医生数（人）</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2.44</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color w:val="auto"/>
                <w:kern w:val="0"/>
                <w:sz w:val="24"/>
                <w:szCs w:val="24"/>
                <w:highlight w:val="none"/>
                <w:u w:val="none"/>
                <w:lang w:val="en-US" w:eastAsia="zh-CN" w:bidi="ar"/>
              </w:rPr>
              <w:t>3</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29" w:type="dxa"/>
            <w:vMerge w:val="continue"/>
            <w:noWrap w:val="0"/>
            <w:vAlign w:val="center"/>
          </w:tcPr>
          <w:p>
            <w:pPr>
              <w:pageBreakBefore w:val="0"/>
              <w:kinsoku/>
              <w:wordWrap/>
              <w:overflowPunct/>
              <w:topLinePunct w:val="0"/>
              <w:autoSpaceDE/>
              <w:autoSpaceDN/>
              <w:bidi w:val="0"/>
              <w:adjustRightInd/>
              <w:snapToGrid/>
              <w:spacing w:afterAutospacing="0" w:line="340" w:lineRule="exact"/>
              <w:ind w:left="0"/>
              <w:jc w:val="both"/>
              <w:rPr>
                <w:rFonts w:hint="default" w:ascii="Times New Roman" w:hAnsi="Times New Roman" w:eastAsia="仿宋_GB2312" w:cs="Times New Roman"/>
                <w:color w:val="auto"/>
                <w:sz w:val="24"/>
                <w:szCs w:val="24"/>
                <w:highlight w:val="none"/>
              </w:rPr>
            </w:pPr>
          </w:p>
        </w:tc>
        <w:tc>
          <w:tcPr>
            <w:tcW w:w="39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both"/>
              <w:textAlignment w:val="top"/>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千人拥有护士数（人）</w:t>
            </w:r>
          </w:p>
        </w:tc>
        <w:tc>
          <w:tcPr>
            <w:tcW w:w="13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3.02</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4</w:t>
            </w:r>
          </w:p>
        </w:tc>
        <w:tc>
          <w:tcPr>
            <w:tcW w:w="15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ind w:left="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6</w:t>
            </w:r>
          </w:p>
        </w:tc>
      </w:tr>
    </w:tbl>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rPr>
      </w:pPr>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bookmarkStart w:id="11" w:name="_Toc4048"/>
    </w:p>
    <w:p>
      <w:pPr>
        <w:keepNext w:val="0"/>
        <w:keepLines w:val="0"/>
        <w:widowControl/>
        <w:suppressLineNumbers w:val="0"/>
        <w:jc w:val="center"/>
        <w:outlineLvl w:val="0"/>
        <w:rPr>
          <w:rFonts w:hint="default" w:ascii="Times New Roman" w:hAnsi="Times New Roman" w:eastAsia="黑体" w:cs="Times New Roman"/>
          <w:b/>
          <w:color w:val="auto"/>
          <w:kern w:val="0"/>
          <w:sz w:val="36"/>
          <w:szCs w:val="36"/>
          <w:lang w:val="en-US" w:eastAsia="zh-CN" w:bidi="ar"/>
        </w:rPr>
      </w:pPr>
      <w:r>
        <w:rPr>
          <w:rFonts w:hint="default" w:ascii="Times New Roman" w:hAnsi="Times New Roman" w:eastAsia="黑体" w:cs="Times New Roman"/>
          <w:b/>
          <w:color w:val="auto"/>
          <w:kern w:val="0"/>
          <w:sz w:val="36"/>
          <w:szCs w:val="36"/>
          <w:lang w:val="en-US" w:eastAsia="zh-CN" w:bidi="ar"/>
        </w:rPr>
        <w:t>第二篇 强化创新驱动能力，培育经济高质量发展新动能</w:t>
      </w:r>
      <w:bookmarkEnd w:id="11"/>
      <w:r>
        <w:rPr>
          <w:rFonts w:hint="default" w:ascii="Times New Roman" w:hAnsi="Times New Roman" w:eastAsia="黑体" w:cs="Times New Roman"/>
          <w:b/>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紧紧抓住新一轮科技创新和产业革命机遇，聚焦主导产业重点领域和关键环节，完善多层次技术创新平台体系，加快形成以创新为引领和支撑的发展模式。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12" w:name="_Toc15844"/>
      <w:r>
        <w:rPr>
          <w:rFonts w:hint="default" w:ascii="Times New Roman" w:hAnsi="Times New Roman" w:eastAsia="黑体" w:cs="Times New Roman"/>
          <w:color w:val="auto"/>
          <w:kern w:val="0"/>
          <w:sz w:val="32"/>
          <w:szCs w:val="32"/>
          <w:lang w:val="en-US" w:eastAsia="zh-CN" w:bidi="ar"/>
        </w:rPr>
        <w:t>第一章 培育发展科技创新平台</w:t>
      </w:r>
      <w:bookmarkEnd w:id="12"/>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面向科技前沿、面向嵩县产业发展技术更新需求，培育本土科技创新平台，增强科技自立；引进高水平研发机构，开展创新合作，推进创新嵩县建设。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3" w:name="_Toc1886"/>
      <w:r>
        <w:rPr>
          <w:rFonts w:hint="default" w:ascii="Times New Roman" w:hAnsi="Times New Roman" w:eastAsia="仿宋_GB2312" w:cs="Times New Roman"/>
          <w:b/>
          <w:color w:val="auto"/>
          <w:kern w:val="0"/>
          <w:sz w:val="32"/>
          <w:szCs w:val="32"/>
          <w:lang w:val="en-US" w:eastAsia="zh-CN" w:bidi="ar"/>
        </w:rPr>
        <w:t>第一节 搭建创新创业平台</w:t>
      </w:r>
      <w:bookmarkEnd w:id="13"/>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整合全县各级工程技术研究中心、企业研发中心、众创空间、科技小巨人、科技企业孵化器科技资源，以及鑫泰农牧、豫博药业等国家和省级星创天地，围绕特色优势领域，组建产业技术创新平台、基地和联盟，引领创新驱动发展。发挥氟钾科技、中金公司、顺势药业、金佛坪农业科技公司等领军企业在市场渠道、技术积累和品牌影响力等方面的基础优势，聚合资金、技术、人才等创新要素，搭建前沿科技创新平台、公共技术服务平台，培育成创新联盟，释放创业创新活力。到</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年，培育科技型企业</w:t>
      </w:r>
      <w:r>
        <w:rPr>
          <w:rFonts w:hint="default" w:ascii="Times New Roman" w:hAnsi="Times New Roman" w:eastAsia="宋体" w:cs="Times New Roman"/>
          <w:color w:val="auto"/>
          <w:kern w:val="0"/>
          <w:sz w:val="32"/>
          <w:szCs w:val="32"/>
          <w:lang w:val="en-US" w:eastAsia="zh-CN" w:bidi="ar"/>
        </w:rPr>
        <w:t>50</w:t>
      </w:r>
      <w:r>
        <w:rPr>
          <w:rFonts w:hint="default" w:ascii="Times New Roman" w:hAnsi="Times New Roman" w:eastAsia="仿宋_GB2312" w:cs="Times New Roman"/>
          <w:color w:val="auto"/>
          <w:kern w:val="0"/>
          <w:sz w:val="32"/>
          <w:szCs w:val="32"/>
          <w:lang w:val="en-US" w:eastAsia="zh-CN" w:bidi="ar"/>
        </w:rPr>
        <w:t>家，其中，高新技术企业</w:t>
      </w:r>
      <w:r>
        <w:rPr>
          <w:rFonts w:hint="default" w:ascii="Times New Roman" w:hAnsi="Times New Roman" w:eastAsia="宋体" w:cs="Times New Roman"/>
          <w:color w:val="auto"/>
          <w:kern w:val="0"/>
          <w:sz w:val="32"/>
          <w:szCs w:val="32"/>
          <w:lang w:val="en-US" w:eastAsia="zh-CN" w:bidi="ar"/>
        </w:rPr>
        <w:t>15</w:t>
      </w:r>
      <w:r>
        <w:rPr>
          <w:rFonts w:hint="default" w:ascii="Times New Roman" w:hAnsi="Times New Roman" w:eastAsia="仿宋_GB2312" w:cs="Times New Roman"/>
          <w:color w:val="auto"/>
          <w:kern w:val="0"/>
          <w:sz w:val="32"/>
          <w:szCs w:val="32"/>
          <w:lang w:val="en-US" w:eastAsia="zh-CN" w:bidi="ar"/>
        </w:rPr>
        <w:t xml:space="preserve">家。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4" w:name="_Toc22000"/>
      <w:r>
        <w:rPr>
          <w:rFonts w:hint="default" w:ascii="Times New Roman" w:hAnsi="Times New Roman" w:eastAsia="仿宋_GB2312" w:cs="Times New Roman"/>
          <w:b/>
          <w:color w:val="auto"/>
          <w:kern w:val="0"/>
          <w:sz w:val="32"/>
          <w:szCs w:val="32"/>
          <w:lang w:val="en-US" w:eastAsia="zh-CN" w:bidi="ar"/>
        </w:rPr>
        <w:t>第二节 争取重大科创平台布局嵩县</w:t>
      </w:r>
      <w:bookmarkEnd w:id="14"/>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积极发挥嵩县龙头企业、小巨人企业的行业影响力，依托县产业集聚区主平台，进一步建立健全科技扶持绿色通道，优先在产业集聚区引进布局高新技术企业、工程技术研究中心等科技资源。发挥嵩原冶炼、氟钾科技、丰源钼业等矿业类企业实力雄厚及农业特色产业众多的优势，争取省和国家级科学中心、科技基础设施、产业创新中心等落地布局。争取省内外高等院校、科研院所、行业龙头企业和专业创新创业团队等各类主体，采取多主体投资、多元化模式在嵩县建设产业技术研究院、工业技术研究院等新型研发机构。引导新型研发机构围绕嵩县市场化方向和产业需求，构建集研究所、技术平台、工程中心、孵育中心、决策咨询机构于一体的新型研发机构。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5" w:name="_Toc4845"/>
      <w:r>
        <w:rPr>
          <w:rFonts w:hint="default" w:ascii="Times New Roman" w:hAnsi="Times New Roman" w:eastAsia="仿宋_GB2312" w:cs="Times New Roman"/>
          <w:b/>
          <w:color w:val="auto"/>
          <w:kern w:val="0"/>
          <w:sz w:val="32"/>
          <w:szCs w:val="32"/>
          <w:lang w:val="en-US" w:eastAsia="zh-CN" w:bidi="ar"/>
        </w:rPr>
        <w:t>第三节 建立产业技术联合研发机构</w:t>
      </w:r>
      <w:bookmarkEnd w:id="15"/>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深化地企、校企合作，鼓励与市内外大型骨干企业、高校、科研机构联手，以产学研合作形式设立产业技术研发机构，形成融合互促多方共赢新局面。按照“对接一家央（省）企、合作一个项目、做大一个产业、形成一个集群”的思路，加强与央（省）企、高科技企业、科研院所的技术创新合作，建设一批技术合作载体，承接一批技术转移转化项目，提升产业集聚区发展品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6" w:name="_Toc9418"/>
      <w:r>
        <w:rPr>
          <w:rFonts w:hint="default" w:ascii="Times New Roman" w:hAnsi="Times New Roman" w:eastAsia="仿宋_GB2312" w:cs="Times New Roman"/>
          <w:b/>
          <w:color w:val="auto"/>
          <w:kern w:val="0"/>
          <w:sz w:val="32"/>
          <w:szCs w:val="32"/>
          <w:lang w:val="en-US" w:eastAsia="zh-CN" w:bidi="ar"/>
        </w:rPr>
        <w:t>第四节 全面提升全民科学素质</w:t>
      </w:r>
      <w:bookmarkEnd w:id="16"/>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广泛开展主题性科普活动，全面提升重点人群科学素质，加强科普基础设施建设，不断完善科普长效机制，持续提升科普服务能力。公民科学素质建设的协同共建、社会动员、监测评估和考核激励机制进一步健全，全民科学素质整体水平明显提高。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17" w:name="_Toc3048"/>
      <w:r>
        <w:rPr>
          <w:rFonts w:hint="default" w:ascii="Times New Roman" w:hAnsi="Times New Roman" w:eastAsia="黑体" w:cs="Times New Roman"/>
          <w:color w:val="auto"/>
          <w:kern w:val="0"/>
          <w:sz w:val="32"/>
          <w:szCs w:val="32"/>
          <w:lang w:val="en-US" w:eastAsia="zh-CN" w:bidi="ar"/>
        </w:rPr>
        <w:t>第二章 优化创新创业生态</w:t>
      </w:r>
      <w:bookmarkEnd w:id="17"/>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提升政府科技服务能力，建立科技管理长效机制，不断优化创新环境，激发创业动力、挖掘创新创业潜力，打造“大众创业、万众创新”升级版，推进嵩县创新创业迈上新台阶。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8" w:name="_Toc23265"/>
      <w:r>
        <w:rPr>
          <w:rFonts w:hint="default" w:ascii="Times New Roman" w:hAnsi="Times New Roman" w:eastAsia="仿宋_GB2312" w:cs="Times New Roman"/>
          <w:b/>
          <w:color w:val="auto"/>
          <w:kern w:val="0"/>
          <w:sz w:val="32"/>
          <w:szCs w:val="32"/>
          <w:lang w:val="en-US" w:eastAsia="zh-CN" w:bidi="ar"/>
        </w:rPr>
        <w:t>第一节 优化政府科技服务职能</w:t>
      </w:r>
      <w:bookmarkEnd w:id="18"/>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优化政府科技创新服务能力，深化商事制度和行政审批改革，建立科技决策咨询制度，充分发挥专家和专业机构在具体项目管理中的作用。优化科技资源配置，深化部门分工合作沟通协调，解决资源配置分散化、碎片化、重复化问题。优化财政普惠和金融普惠，为创新创业人员提供必要的资金等要素服务支撑。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9" w:name="_Toc4520"/>
      <w:r>
        <w:rPr>
          <w:rFonts w:hint="default" w:ascii="Times New Roman" w:hAnsi="Times New Roman" w:eastAsia="仿宋_GB2312" w:cs="Times New Roman"/>
          <w:b/>
          <w:color w:val="auto"/>
          <w:kern w:val="0"/>
          <w:sz w:val="32"/>
          <w:szCs w:val="32"/>
          <w:lang w:val="en-US" w:eastAsia="zh-CN" w:bidi="ar"/>
        </w:rPr>
        <w:t>第二节 营造创新创业氛围</w:t>
      </w:r>
      <w:bookmarkEnd w:id="19"/>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依托嵩县职业教育资源，中小学教学实践基地推动创客文化进学校，设立创新创业课程，开展品牌性创新活动，鼓励学生动手、实践、创业。支持企业员工参与工艺改进和产品设计，鼓励微创业、微创新。鼓励科技企业孵化器等创业载体建设创业导师队伍，为科技型中小企业、创业者提供导向性、专业性、实践性咨询和辅导服务，营造良好的创新创业环境，激发创新活力。鼓励企业创新经营模式，探索建立企业“双创”机制，实现企业平台化、员工创客化。</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20" w:name="_Toc12332"/>
      <w:r>
        <w:rPr>
          <w:rFonts w:hint="default" w:ascii="Times New Roman" w:hAnsi="Times New Roman" w:eastAsia="黑体" w:cs="Times New Roman"/>
          <w:color w:val="auto"/>
          <w:kern w:val="0"/>
          <w:sz w:val="32"/>
          <w:szCs w:val="32"/>
          <w:lang w:val="en-US" w:eastAsia="zh-CN" w:bidi="ar"/>
        </w:rPr>
        <w:t>第三章 提升企业创新能力</w:t>
      </w:r>
      <w:bookmarkEnd w:id="20"/>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强化企业创新主体地位，促进各类创新要素向企业集聚。支持企业牵头组建创新联合体，承担重大科技项目。发挥企业家在技术创新中的重要作用，支持创新型中小微企业成长为创新重要发源地。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21" w:name="_Toc16967"/>
      <w:r>
        <w:rPr>
          <w:rFonts w:hint="default" w:ascii="Times New Roman" w:hAnsi="Times New Roman" w:eastAsia="仿宋_GB2312" w:cs="Times New Roman"/>
          <w:b/>
          <w:color w:val="auto"/>
          <w:kern w:val="0"/>
          <w:sz w:val="32"/>
          <w:szCs w:val="32"/>
          <w:lang w:val="en-US" w:eastAsia="zh-CN" w:bidi="ar"/>
        </w:rPr>
        <w:t>第一节 提升企业创新主体地位</w:t>
      </w:r>
      <w:bookmarkEnd w:id="21"/>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市场导向，发挥企业在产业技术创新中的主导作用，扩大企业在创新决策中的话语权，推动企业成为创新决策、研发投入、科研组织和成果转化的主体。支持中金公司、山金公司、顺势药业、民生药业、新春都制药、平原智能等企业参与制定嵩县产业技术创新规划、政策和标准。在嵩县重大科技咨询决策中，提高企业家所占的比例。扶持发展创新型企业，开展嵩县杰出贡献企业家、创新成长型企业家评选活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22" w:name="_Toc24686"/>
      <w:r>
        <w:rPr>
          <w:rFonts w:hint="default" w:ascii="Times New Roman" w:hAnsi="Times New Roman" w:eastAsia="仿宋" w:cs="Times New Roman"/>
          <w:b/>
          <w:color w:val="auto"/>
          <w:kern w:val="0"/>
          <w:sz w:val="32"/>
          <w:szCs w:val="32"/>
          <w:lang w:val="en-US" w:eastAsia="zh-CN" w:bidi="ar"/>
        </w:rPr>
        <w:t>第二节 促进科技成果转移转化</w:t>
      </w:r>
      <w:bookmarkEnd w:id="22"/>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发挥市场对产业发展方向和技术路线选择的决定性作用，加强新技术新工艺新产品转化应用。鼓励嵩县本地企业与省内外科研技术机构共同开展研究开发、成果应用与推广。建设嵩县科技综合服务平台。完善技术成果向企业转移转化的扶持机制，鼓励科技型中小企业、创新型企业、高新技术企业引进国内外先进适用技术。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23" w:name="_Toc28743"/>
      <w:r>
        <w:rPr>
          <w:rFonts w:hint="default" w:ascii="Times New Roman" w:hAnsi="Times New Roman" w:eastAsia="黑体" w:cs="Times New Roman"/>
          <w:color w:val="auto"/>
          <w:kern w:val="0"/>
          <w:sz w:val="32"/>
          <w:szCs w:val="32"/>
          <w:lang w:val="en-US" w:eastAsia="zh-CN" w:bidi="ar"/>
        </w:rPr>
        <w:t>第四章 实施人才强县战略</w:t>
      </w:r>
      <w:bookmarkEnd w:id="23"/>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结合全县产业发展实际需要，加强创新型、应用型、技能型人才引进和培养，造就更多科技领军人才和创新团队，构筑集聚优秀人才的科技创新高地。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24" w:name="_Toc2756"/>
      <w:r>
        <w:rPr>
          <w:rFonts w:hint="default" w:ascii="Times New Roman" w:hAnsi="Times New Roman" w:eastAsia="仿宋" w:cs="Times New Roman"/>
          <w:b/>
          <w:color w:val="auto"/>
          <w:kern w:val="0"/>
          <w:sz w:val="32"/>
          <w:szCs w:val="32"/>
          <w:lang w:val="en-US" w:eastAsia="zh-CN" w:bidi="ar"/>
        </w:rPr>
        <w:t>第一节 全面深化推进</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 w:cs="Times New Roman"/>
          <w:b/>
          <w:color w:val="auto"/>
          <w:kern w:val="0"/>
          <w:sz w:val="32"/>
          <w:szCs w:val="32"/>
          <w:lang w:val="en-US" w:eastAsia="zh-CN" w:bidi="ar"/>
        </w:rPr>
        <w:t>嵩州英才计划</w:t>
      </w:r>
      <w:r>
        <w:rPr>
          <w:rFonts w:hint="default" w:ascii="Times New Roman" w:hAnsi="Times New Roman" w:eastAsia="宋体" w:cs="Times New Roman"/>
          <w:b/>
          <w:color w:val="auto"/>
          <w:kern w:val="0"/>
          <w:sz w:val="32"/>
          <w:szCs w:val="32"/>
          <w:lang w:val="en-US" w:eastAsia="zh-CN" w:bidi="ar"/>
        </w:rPr>
        <w:t>”</w:t>
      </w:r>
      <w:bookmarkEnd w:id="24"/>
      <w:r>
        <w:rPr>
          <w:rFonts w:hint="default" w:ascii="Times New Roman" w:hAnsi="Times New Roman" w:eastAsia="宋体"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围绕全县经济社会发展大局，全面深化推进“嵩州英才计划”，紧盯嵩县“十四五”着力培育的新材料、新能源、生物医药、特色农业等领域，同时选择教育、文化、医疗卫生、人文社科、旅游、交通等领域，有计划、有重点的评选“嵩州拔尖人才”及“嵩州高学历人才、嵩州科技人才、嵩州企业管理人才、嵩州旅游人才、嵩州文化名家、嵩州名医名护、嵩州名师、嵩州工匠、嵩州乡土专家”等 </w:t>
      </w:r>
      <w:r>
        <w:rPr>
          <w:rFonts w:hint="default" w:ascii="Times New Roman" w:hAnsi="Times New Roman" w:eastAsia="宋体" w:cs="Times New Roman"/>
          <w:color w:val="auto"/>
          <w:kern w:val="0"/>
          <w:sz w:val="32"/>
          <w:szCs w:val="32"/>
          <w:lang w:val="en-US" w:eastAsia="zh-CN" w:bidi="ar"/>
        </w:rPr>
        <w:t xml:space="preserve">10 </w:t>
      </w:r>
      <w:r>
        <w:rPr>
          <w:rFonts w:hint="default" w:ascii="Times New Roman" w:hAnsi="Times New Roman" w:eastAsia="仿宋_GB2312" w:cs="Times New Roman"/>
          <w:color w:val="auto"/>
          <w:kern w:val="0"/>
          <w:sz w:val="32"/>
          <w:szCs w:val="32"/>
          <w:lang w:val="en-US" w:eastAsia="zh-CN" w:bidi="ar"/>
        </w:rPr>
        <w:t xml:space="preserve">类人才，进行分类精准培育，打造嵩县人才品牌，着力建设一支结构合理、种类齐全、素质优良、梯队衔接的创新创业人才队伍。加快培育网络传媒、城市规划设计、市政管理、环境工程、社会工作等方面专业骨干人才，形成与未来发展相适应的社会事业人才队伍。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25" w:name="_Toc614"/>
      <w:r>
        <w:rPr>
          <w:rFonts w:hint="default" w:ascii="Times New Roman" w:hAnsi="Times New Roman" w:eastAsia="仿宋" w:cs="Times New Roman"/>
          <w:b/>
          <w:color w:val="auto"/>
          <w:kern w:val="0"/>
          <w:sz w:val="32"/>
          <w:szCs w:val="32"/>
          <w:lang w:val="en-US" w:eastAsia="zh-CN" w:bidi="ar"/>
        </w:rPr>
        <w:t>第二节 创新灵活多样的人才引进模式</w:t>
      </w:r>
      <w:bookmarkEnd w:id="25"/>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探索市场化、社会化引才途径，将人才服务纳入政府购买服务的指导目录，有针对性地寻访和引进高层次人才，支持各用人单位通过技术指导、培训咨询、项目合作等形式，柔性引进高端人才，采取“一人一策、一事一议”的方式进行聘用合作。注重</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乡情</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引才、校友引才，充分利用嵩县外出创业人才多优势，加强与嵩县籍人才联络对接，吸引回乡创新创业。实施青年人才储备计划，每年吸引一批高校毕业生在嵩县创新创业。完善青年发展政策体系，健全青年工作联席会议制度，优化青年成长成才环境，壮大青年人才队伍。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26" w:name="_Toc5794"/>
      <w:r>
        <w:rPr>
          <w:rFonts w:hint="default" w:ascii="Times New Roman" w:hAnsi="Times New Roman" w:eastAsia="仿宋" w:cs="Times New Roman"/>
          <w:b/>
          <w:color w:val="auto"/>
          <w:kern w:val="0"/>
          <w:sz w:val="32"/>
          <w:szCs w:val="32"/>
          <w:lang w:val="en-US" w:eastAsia="zh-CN" w:bidi="ar"/>
        </w:rPr>
        <w:t>第三节 激发人才创新活力</w:t>
      </w:r>
      <w:bookmarkEnd w:id="26"/>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改革创新人才激励机制，深化实施“专业领军、行业标杆、人才引领、效益示范、公益标兵”“五个一”工程，探索推行人才工作绩效目标考核管理，津补贴发放与绩效考核结果相挂钩。督促行业职能部门联动协作，出台青年人才普惠性支持政策，增加政策“含金量”，紧密围绕政策支持、金融助力、加强培训、政治荣誉、关心关爱等“</w:t>
      </w:r>
      <w:r>
        <w:rPr>
          <w:rFonts w:hint="default" w:ascii="Times New Roman" w:hAnsi="Times New Roman" w:eastAsia="宋体"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 xml:space="preserve">大服务包”，在创业补贴、项目培育、办公场地、资金扶持、职称晋升、医疗保障、子女就学等方面提供优质服务，激发青年人才创业创新积极性。支持企事业单位选派技能人才参加国内省内技能大赛。开展技能比武和职业技能竞赛活动，激发高技能人才创新活力。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noWrap w:val="0"/>
            <w:vAlign w:val="top"/>
          </w:tcPr>
          <w:p>
            <w:pPr>
              <w:pStyle w:val="2"/>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 w:cs="Times New Roman"/>
                <w:b/>
                <w:bCs/>
                <w:color w:val="auto"/>
                <w:sz w:val="28"/>
                <w:szCs w:val="28"/>
                <w:highlight w:val="none"/>
                <w:lang w:eastAsia="zh-CN"/>
              </w:rPr>
            </w:pPr>
            <w:r>
              <w:rPr>
                <w:rFonts w:hint="default" w:ascii="Times New Roman" w:hAnsi="Times New Roman" w:eastAsia="方正黑体简体" w:cs="Times New Roman"/>
                <w:b w:val="0"/>
                <w:bCs w:val="0"/>
                <w:color w:val="auto"/>
                <w:sz w:val="30"/>
                <w:szCs w:val="30"/>
                <w:highlight w:val="none"/>
              </w:rPr>
              <w:t>专栏</w:t>
            </w:r>
            <w:r>
              <w:rPr>
                <w:rFonts w:hint="default" w:ascii="Times New Roman" w:hAnsi="Times New Roman" w:eastAsia="方正黑体简体" w:cs="Times New Roman"/>
                <w:b w:val="0"/>
                <w:bCs w:val="0"/>
                <w:color w:val="auto"/>
                <w:sz w:val="30"/>
                <w:szCs w:val="30"/>
                <w:highlight w:val="none"/>
                <w:lang w:val="en-US" w:eastAsia="zh-CN"/>
              </w:rPr>
              <w:t>3</w:t>
            </w:r>
            <w:r>
              <w:rPr>
                <w:rFonts w:hint="default" w:ascii="Times New Roman" w:hAnsi="Times New Roman" w:eastAsia="方正黑体简体" w:cs="Times New Roman"/>
                <w:b w:val="0"/>
                <w:bCs w:val="0"/>
                <w:color w:val="auto"/>
                <w:sz w:val="30"/>
                <w:szCs w:val="30"/>
                <w:highlight w:val="none"/>
              </w:rPr>
              <w:t>：</w:t>
            </w:r>
            <w:r>
              <w:rPr>
                <w:rFonts w:hint="default" w:ascii="Times New Roman" w:hAnsi="Times New Roman" w:eastAsia="方正黑体简体" w:cs="Times New Roman"/>
                <w:b w:val="0"/>
                <w:bCs w:val="0"/>
                <w:color w:val="auto"/>
                <w:sz w:val="30"/>
                <w:szCs w:val="30"/>
                <w:highlight w:val="none"/>
                <w:lang w:eastAsia="zh-CN"/>
              </w:rPr>
              <w:t>“</w:t>
            </w:r>
            <w:r>
              <w:rPr>
                <w:rFonts w:hint="default" w:ascii="Times New Roman" w:hAnsi="Times New Roman" w:eastAsia="方正黑体简体" w:cs="Times New Roman"/>
                <w:b w:val="0"/>
                <w:bCs w:val="0"/>
                <w:color w:val="auto"/>
                <w:sz w:val="30"/>
                <w:szCs w:val="30"/>
                <w:highlight w:val="none"/>
              </w:rPr>
              <w:t>十四五”科技创新重点</w:t>
            </w:r>
            <w:r>
              <w:rPr>
                <w:rFonts w:hint="default" w:ascii="Times New Roman" w:hAnsi="Times New Roman" w:eastAsia="方正黑体简体" w:cs="Times New Roman"/>
                <w:b w:val="0"/>
                <w:bCs w:val="0"/>
                <w:color w:val="auto"/>
                <w:sz w:val="30"/>
                <w:szCs w:val="30"/>
                <w:highlight w:val="none"/>
                <w:lang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noWrap w:val="0"/>
            <w:vAlign w:val="top"/>
          </w:tcPr>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b/>
                <w:bCs/>
                <w:color w:val="auto"/>
                <w:sz w:val="24"/>
                <w:szCs w:val="24"/>
                <w:highlight w:val="none"/>
                <w:u w:val="none"/>
              </w:rPr>
              <w:t>1、</w:t>
            </w:r>
            <w:r>
              <w:rPr>
                <w:rFonts w:hint="default" w:ascii="Times New Roman" w:hAnsi="Times New Roman" w:eastAsia="仿宋_GB2312" w:cs="Times New Roman"/>
                <w:b/>
                <w:bCs/>
                <w:color w:val="auto"/>
                <w:sz w:val="24"/>
                <w:szCs w:val="24"/>
                <w:highlight w:val="none"/>
                <w:u w:val="none"/>
                <w:lang w:eastAsia="zh-CN"/>
              </w:rPr>
              <w:t>科技型企业及研发平台培育</w:t>
            </w:r>
            <w:r>
              <w:rPr>
                <w:rFonts w:hint="default" w:ascii="Times New Roman" w:hAnsi="Times New Roman" w:eastAsia="仿宋_GB2312" w:cs="Times New Roman"/>
                <w:b/>
                <w:bCs/>
                <w:color w:val="auto"/>
                <w:sz w:val="24"/>
                <w:szCs w:val="24"/>
                <w:highlight w:val="none"/>
                <w:u w:val="none"/>
              </w:rPr>
              <w:t>：</w:t>
            </w:r>
            <w:r>
              <w:rPr>
                <w:rFonts w:hint="default" w:ascii="Times New Roman" w:hAnsi="Times New Roman" w:eastAsia="仿宋_GB2312" w:cs="Times New Roman"/>
                <w:color w:val="auto"/>
                <w:sz w:val="24"/>
                <w:szCs w:val="24"/>
                <w:highlight w:val="none"/>
                <w:u w:val="none"/>
              </w:rPr>
              <w:t>培育科技型中小企业</w:t>
            </w:r>
            <w:r>
              <w:rPr>
                <w:rFonts w:hint="default" w:ascii="Times New Roman" w:hAnsi="Times New Roman" w:eastAsia="仿宋_GB2312" w:cs="Times New Roman"/>
                <w:color w:val="auto"/>
                <w:sz w:val="24"/>
                <w:szCs w:val="24"/>
                <w:highlight w:val="none"/>
                <w:u w:val="none"/>
                <w:lang w:val="en-US" w:eastAsia="zh-CN"/>
              </w:rPr>
              <w:t>50</w:t>
            </w:r>
            <w:r>
              <w:rPr>
                <w:rFonts w:hint="default" w:ascii="Times New Roman" w:hAnsi="Times New Roman" w:eastAsia="仿宋_GB2312" w:cs="Times New Roman"/>
                <w:color w:val="auto"/>
                <w:sz w:val="24"/>
                <w:szCs w:val="24"/>
                <w:highlight w:val="none"/>
                <w:u w:val="none"/>
              </w:rPr>
              <w:t>个、高新技术企业</w:t>
            </w:r>
            <w:r>
              <w:rPr>
                <w:rFonts w:hint="default" w:ascii="Times New Roman" w:hAnsi="Times New Roman" w:eastAsia="仿宋_GB2312" w:cs="Times New Roman"/>
                <w:color w:val="auto"/>
                <w:sz w:val="24"/>
                <w:szCs w:val="24"/>
                <w:highlight w:val="none"/>
                <w:u w:val="none"/>
                <w:lang w:val="en-US" w:eastAsia="zh-CN"/>
              </w:rPr>
              <w:t>15</w:t>
            </w:r>
            <w:r>
              <w:rPr>
                <w:rFonts w:hint="default" w:ascii="Times New Roman" w:hAnsi="Times New Roman" w:eastAsia="仿宋_GB2312" w:cs="Times New Roman"/>
                <w:color w:val="auto"/>
                <w:sz w:val="24"/>
                <w:szCs w:val="24"/>
                <w:highlight w:val="none"/>
                <w:u w:val="none"/>
              </w:rPr>
              <w:t>个</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新打造省级工程技术研究中心</w:t>
            </w:r>
            <w:r>
              <w:rPr>
                <w:rFonts w:hint="default" w:ascii="Times New Roman" w:hAnsi="Times New Roman" w:eastAsia="仿宋_GB2312" w:cs="Times New Roman"/>
                <w:color w:val="auto"/>
                <w:sz w:val="24"/>
                <w:szCs w:val="24"/>
                <w:highlight w:val="none"/>
                <w:u w:val="none"/>
                <w:lang w:val="en-US" w:eastAsia="zh-CN"/>
              </w:rPr>
              <w:t>5</w:t>
            </w:r>
            <w:r>
              <w:rPr>
                <w:rFonts w:hint="default" w:ascii="Times New Roman" w:hAnsi="Times New Roman" w:eastAsia="仿宋_GB2312" w:cs="Times New Roman"/>
                <w:color w:val="auto"/>
                <w:sz w:val="24"/>
                <w:szCs w:val="24"/>
                <w:highlight w:val="none"/>
                <w:u w:val="none"/>
              </w:rPr>
              <w:t>个、市级重点实验室</w:t>
            </w:r>
            <w:r>
              <w:rPr>
                <w:rFonts w:hint="default"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rPr>
              <w:t>个、</w:t>
            </w:r>
            <w:r>
              <w:rPr>
                <w:rFonts w:hint="default" w:ascii="Times New Roman" w:hAnsi="Times New Roman" w:eastAsia="仿宋_GB2312" w:cs="Times New Roman"/>
                <w:color w:val="auto"/>
                <w:sz w:val="24"/>
                <w:szCs w:val="24"/>
                <w:highlight w:val="none"/>
                <w:u w:val="none"/>
                <w:lang w:eastAsia="zh-CN"/>
              </w:rPr>
              <w:t>工</w:t>
            </w:r>
            <w:r>
              <w:rPr>
                <w:rFonts w:hint="default" w:ascii="Times New Roman" w:hAnsi="Times New Roman" w:eastAsia="仿宋_GB2312" w:cs="Times New Roman"/>
                <w:color w:val="auto"/>
                <w:sz w:val="24"/>
                <w:szCs w:val="24"/>
                <w:highlight w:val="none"/>
                <w:u w:val="none"/>
              </w:rPr>
              <w:t>程技术研究中心</w:t>
            </w:r>
            <w:r>
              <w:rPr>
                <w:rFonts w:hint="default" w:ascii="Times New Roman" w:hAnsi="Times New Roman" w:eastAsia="仿宋_GB2312" w:cs="Times New Roman"/>
                <w:color w:val="auto"/>
                <w:sz w:val="24"/>
                <w:szCs w:val="24"/>
                <w:highlight w:val="none"/>
                <w:u w:val="none"/>
                <w:lang w:val="en-US" w:eastAsia="zh-CN"/>
              </w:rPr>
              <w:t>5</w:t>
            </w:r>
            <w:r>
              <w:rPr>
                <w:rFonts w:hint="default" w:ascii="Times New Roman" w:hAnsi="Times New Roman" w:eastAsia="仿宋_GB2312" w:cs="Times New Roman"/>
                <w:color w:val="auto"/>
                <w:sz w:val="24"/>
                <w:szCs w:val="24"/>
                <w:highlight w:val="none"/>
                <w:u w:val="none"/>
              </w:rPr>
              <w:t>个</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国家级星创天地</w:t>
            </w:r>
            <w:r>
              <w:rPr>
                <w:rFonts w:hint="default"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rPr>
              <w:t>个</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牵头</w:t>
            </w:r>
            <w:r>
              <w:rPr>
                <w:rFonts w:hint="default" w:ascii="Times New Roman" w:hAnsi="Times New Roman" w:eastAsia="仿宋_GB2312" w:cs="Times New Roman"/>
                <w:color w:val="auto"/>
                <w:sz w:val="24"/>
                <w:szCs w:val="24"/>
                <w:highlight w:val="none"/>
                <w:u w:val="none"/>
                <w:lang w:val="en-US" w:eastAsia="zh-CN"/>
              </w:rPr>
              <w:t>1</w:t>
            </w:r>
            <w:r>
              <w:rPr>
                <w:rFonts w:hint="default" w:ascii="Times New Roman" w:hAnsi="Times New Roman" w:eastAsia="仿宋_GB2312" w:cs="Times New Roman"/>
                <w:color w:val="auto"/>
                <w:sz w:val="24"/>
                <w:szCs w:val="24"/>
                <w:highlight w:val="none"/>
                <w:u w:val="none"/>
              </w:rPr>
              <w:t>个行业科技联盟。</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b/>
                <w:bCs/>
                <w:color w:val="auto"/>
                <w:sz w:val="24"/>
                <w:szCs w:val="24"/>
                <w:highlight w:val="none"/>
                <w:u w:val="none"/>
              </w:rPr>
              <w:t>2、重大科技平台引育工程：</w:t>
            </w:r>
            <w:r>
              <w:rPr>
                <w:rFonts w:hint="default" w:ascii="Times New Roman" w:hAnsi="Times New Roman" w:eastAsia="仿宋_GB2312" w:cs="Times New Roman"/>
                <w:color w:val="auto"/>
                <w:sz w:val="24"/>
                <w:szCs w:val="24"/>
                <w:highlight w:val="none"/>
                <w:u w:val="none"/>
              </w:rPr>
              <w:t>引进高新技术企业、工程技术研究中心</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构建集研究所、技术平台、工程中心、孵育中心、决策咨询机构于一体的新型研发机构。</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b/>
                <w:bCs/>
                <w:color w:val="auto"/>
                <w:sz w:val="24"/>
                <w:szCs w:val="24"/>
                <w:highlight w:val="none"/>
                <w:u w:val="none"/>
              </w:rPr>
              <w:t>3、科技型企业技术提升工程：</w:t>
            </w:r>
            <w:r>
              <w:rPr>
                <w:rFonts w:hint="default" w:ascii="Times New Roman" w:hAnsi="Times New Roman" w:eastAsia="仿宋_GB2312" w:cs="Times New Roman"/>
                <w:b w:val="0"/>
                <w:bCs w:val="0"/>
                <w:color w:val="auto"/>
                <w:sz w:val="24"/>
                <w:szCs w:val="24"/>
                <w:highlight w:val="none"/>
                <w:u w:val="none"/>
                <w:lang w:eastAsia="zh-CN"/>
              </w:rPr>
              <w:t>支持</w:t>
            </w:r>
            <w:r>
              <w:rPr>
                <w:rFonts w:hint="default" w:ascii="Times New Roman" w:hAnsi="Times New Roman" w:eastAsia="仿宋_GB2312" w:cs="Times New Roman"/>
                <w:color w:val="auto"/>
                <w:sz w:val="24"/>
                <w:szCs w:val="24"/>
                <w:highlight w:val="none"/>
                <w:u w:val="none"/>
                <w:lang w:val="en-US" w:eastAsia="zh-CN"/>
              </w:rPr>
              <w:t>氟钾科技、</w:t>
            </w:r>
            <w:r>
              <w:rPr>
                <w:rFonts w:hint="default" w:ascii="Times New Roman" w:hAnsi="Times New Roman" w:eastAsia="仿宋_GB2312" w:cs="Times New Roman"/>
                <w:color w:val="auto"/>
                <w:sz w:val="24"/>
                <w:szCs w:val="24"/>
                <w:highlight w:val="none"/>
                <w:u w:val="none"/>
              </w:rPr>
              <w:t>顺势药业、开拓者钼业等高新技术企业自主创新</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推出科技专利产品。</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b/>
                <w:bCs/>
                <w:color w:val="auto"/>
                <w:sz w:val="24"/>
                <w:szCs w:val="24"/>
                <w:highlight w:val="none"/>
                <w:u w:val="none"/>
              </w:rPr>
              <w:t>4、科技成果转化工程：</w:t>
            </w:r>
            <w:r>
              <w:rPr>
                <w:rFonts w:hint="default" w:ascii="Times New Roman" w:hAnsi="Times New Roman" w:eastAsia="仿宋_GB2312" w:cs="Times New Roman"/>
                <w:color w:val="auto"/>
                <w:sz w:val="24"/>
                <w:szCs w:val="24"/>
                <w:highlight w:val="none"/>
                <w:u w:val="none"/>
                <w:lang w:val="en-US" w:eastAsia="zh-CN"/>
              </w:rPr>
              <w:t>依托嵩洋公司、洛阳菘田公司等企业推广转化科技成果。</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textAlignment w:val="auto"/>
              <w:rPr>
                <w:rFonts w:hint="default" w:ascii="Times New Roman" w:hAnsi="Times New Roman" w:eastAsia="仿宋" w:cs="Times New Roman"/>
                <w:color w:val="auto"/>
                <w:sz w:val="24"/>
                <w:szCs w:val="24"/>
                <w:highlight w:val="none"/>
                <w:u w:val="none"/>
                <w:lang w:eastAsia="zh-CN"/>
              </w:rPr>
            </w:pPr>
            <w:r>
              <w:rPr>
                <w:rFonts w:hint="default" w:ascii="Times New Roman" w:hAnsi="Times New Roman" w:eastAsia="仿宋_GB2312" w:cs="Times New Roman"/>
                <w:b/>
                <w:bCs/>
                <w:color w:val="auto"/>
                <w:sz w:val="24"/>
                <w:szCs w:val="24"/>
                <w:highlight w:val="none"/>
                <w:u w:val="none"/>
              </w:rPr>
              <w:t>5、人才引育工程：</w:t>
            </w:r>
            <w:r>
              <w:rPr>
                <w:rFonts w:hint="default" w:ascii="Times New Roman" w:hAnsi="Times New Roman" w:eastAsia="仿宋_GB2312" w:cs="Times New Roman"/>
                <w:color w:val="auto"/>
                <w:sz w:val="24"/>
                <w:szCs w:val="24"/>
                <w:highlight w:val="none"/>
                <w:u w:val="none"/>
              </w:rPr>
              <w:t>围绕人工智能、文化创意、新材料、</w:t>
            </w:r>
            <w:r>
              <w:rPr>
                <w:rFonts w:hint="default" w:ascii="Times New Roman" w:hAnsi="Times New Roman" w:eastAsia="仿宋_GB2312" w:cs="Times New Roman"/>
                <w:color w:val="auto"/>
                <w:sz w:val="24"/>
                <w:szCs w:val="24"/>
                <w:highlight w:val="none"/>
                <w:u w:val="none"/>
                <w:lang w:eastAsia="zh-CN"/>
              </w:rPr>
              <w:t>生物</w:t>
            </w:r>
            <w:r>
              <w:rPr>
                <w:rFonts w:hint="default" w:ascii="Times New Roman" w:hAnsi="Times New Roman" w:eastAsia="仿宋_GB2312" w:cs="Times New Roman"/>
                <w:color w:val="auto"/>
                <w:sz w:val="24"/>
                <w:szCs w:val="24"/>
                <w:highlight w:val="none"/>
                <w:u w:val="none"/>
              </w:rPr>
              <w:t>医药、大数据、现代农业、节能环保等领域</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引进科技研发人才、工程技术人才</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经营管理人才</w:t>
            </w:r>
            <w:r>
              <w:rPr>
                <w:rFonts w:hint="default" w:ascii="Times New Roman" w:hAnsi="Times New Roman" w:eastAsia="仿宋_GB2312" w:cs="Times New Roman"/>
                <w:color w:val="auto"/>
                <w:sz w:val="24"/>
                <w:szCs w:val="24"/>
                <w:highlight w:val="none"/>
                <w:u w:val="none"/>
                <w:lang w:eastAsia="zh-CN"/>
              </w:rPr>
              <w:t>和高学历人才</w:t>
            </w:r>
            <w:r>
              <w:rPr>
                <w:rFonts w:hint="default" w:ascii="Times New Roman" w:hAnsi="Times New Roman" w:eastAsia="仿宋_GB2312" w:cs="Times New Roman"/>
                <w:color w:val="auto"/>
                <w:sz w:val="24"/>
                <w:szCs w:val="24"/>
                <w:highlight w:val="none"/>
                <w:u w:val="none"/>
              </w:rPr>
              <w:t>不少于</w:t>
            </w:r>
            <w:r>
              <w:rPr>
                <w:rFonts w:hint="default" w:ascii="Times New Roman" w:hAnsi="Times New Roman" w:eastAsia="仿宋_GB2312" w:cs="Times New Roman"/>
                <w:color w:val="auto"/>
                <w:sz w:val="24"/>
                <w:szCs w:val="24"/>
                <w:highlight w:val="none"/>
                <w:u w:val="none"/>
                <w:lang w:val="en-US" w:eastAsia="zh-CN"/>
              </w:rPr>
              <w:t>50</w:t>
            </w:r>
            <w:r>
              <w:rPr>
                <w:rFonts w:hint="default" w:ascii="Times New Roman" w:hAnsi="Times New Roman" w:eastAsia="仿宋_GB2312" w:cs="Times New Roman"/>
                <w:color w:val="auto"/>
                <w:sz w:val="24"/>
                <w:szCs w:val="24"/>
                <w:highlight w:val="none"/>
                <w:u w:val="none"/>
              </w:rPr>
              <w:t>人</w:t>
            </w:r>
            <w:r>
              <w:rPr>
                <w:rFonts w:hint="default"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lang w:val="en-US" w:eastAsia="zh-CN"/>
              </w:rPr>
              <w:t>深化实施“嵩州英才”培育工程。</w:t>
            </w:r>
          </w:p>
        </w:tc>
      </w:tr>
    </w:tbl>
    <w:p>
      <w:pPr>
        <w:keepNext w:val="0"/>
        <w:keepLines w:val="0"/>
        <w:pageBreakBefore w:val="0"/>
        <w:widowControl/>
        <w:suppressLineNumbers w:val="0"/>
        <w:kinsoku/>
        <w:wordWrap/>
        <w:overflowPunct/>
        <w:topLinePunct w:val="0"/>
        <w:autoSpaceDE/>
        <w:autoSpaceDN/>
        <w:bidi w:val="0"/>
        <w:adjustRightInd/>
        <w:snapToGrid/>
        <w:ind w:firstLine="723" w:firstLineChars="200"/>
        <w:jc w:val="left"/>
        <w:textAlignment w:val="auto"/>
        <w:rPr>
          <w:rFonts w:hint="default" w:ascii="Times New Roman" w:hAnsi="Times New Roman" w:eastAsia="黑体" w:cs="Times New Roman"/>
          <w:b/>
          <w:color w:val="auto"/>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cs="Times New Roman"/>
          <w:color w:val="auto"/>
        </w:rPr>
      </w:pPr>
      <w:bookmarkStart w:id="27" w:name="_Toc14131"/>
      <w:r>
        <w:rPr>
          <w:rFonts w:hint="default" w:ascii="Times New Roman" w:hAnsi="Times New Roman" w:eastAsia="黑体" w:cs="Times New Roman"/>
          <w:b/>
          <w:color w:val="auto"/>
          <w:kern w:val="0"/>
          <w:sz w:val="36"/>
          <w:szCs w:val="36"/>
          <w:lang w:val="en-US" w:eastAsia="zh-CN" w:bidi="ar"/>
        </w:rPr>
        <w:t>第三篇 加快产业提质升级，构建现代化产业新体系</w:t>
      </w:r>
      <w:bookmarkEnd w:id="27"/>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顺应绿色化、智能化发展方向，培育壮大新能源、生物医药、绿色食品三大新兴产业，做大做强金钼氟新材料、文化旅游两大主导产业，支持发展现代农业、健康养生两大特色产业，构建</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三新两强两特</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现代产业体系，走出一条产业生态化、生态产业化发展新路子，推进产业全面转型升级。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cs="Times New Roman"/>
          <w:color w:val="auto"/>
          <w:sz w:val="32"/>
          <w:szCs w:val="32"/>
        </w:rPr>
      </w:pPr>
      <w:bookmarkStart w:id="28" w:name="_Toc4515"/>
      <w:r>
        <w:rPr>
          <w:rFonts w:hint="default" w:ascii="Times New Roman" w:hAnsi="Times New Roman" w:eastAsia="黑体" w:cs="Times New Roman"/>
          <w:color w:val="auto"/>
          <w:kern w:val="0"/>
          <w:sz w:val="32"/>
          <w:szCs w:val="32"/>
          <w:lang w:val="en-US" w:eastAsia="zh-CN" w:bidi="ar"/>
        </w:rPr>
        <w:t>第一章  大力发展全域旅游</w:t>
      </w:r>
      <w:bookmarkEnd w:id="28"/>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持续实施“旅游富民”发展战略，以“</w:t>
      </w:r>
      <w:r>
        <w:rPr>
          <w:rFonts w:hint="default" w:ascii="Times New Roman" w:hAnsi="Times New Roman" w:eastAsia="宋体" w:cs="Times New Roman"/>
          <w:color w:val="auto"/>
          <w:kern w:val="0"/>
          <w:sz w:val="32"/>
          <w:szCs w:val="32"/>
          <w:lang w:val="en-US" w:eastAsia="zh-CN" w:bidi="ar"/>
        </w:rPr>
        <w:t xml:space="preserve">5A </w:t>
      </w:r>
      <w:r>
        <w:rPr>
          <w:rFonts w:hint="default" w:ascii="Times New Roman" w:hAnsi="Times New Roman" w:eastAsia="仿宋_GB2312" w:cs="Times New Roman"/>
          <w:color w:val="auto"/>
          <w:kern w:val="0"/>
          <w:sz w:val="32"/>
          <w:szCs w:val="32"/>
          <w:lang w:val="en-US" w:eastAsia="zh-CN" w:bidi="ar"/>
        </w:rPr>
        <w:t>嵩县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全域旅游”为目标，更新发展理念，培育特色产品，加快基础设施和服务设施升级改造，努力打造国家全域旅游示范县，带动经济社会全面转型发展。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cs="Times New Roman"/>
          <w:color w:val="auto"/>
          <w:sz w:val="32"/>
          <w:szCs w:val="32"/>
        </w:rPr>
      </w:pPr>
      <w:bookmarkStart w:id="29" w:name="_Toc4634"/>
      <w:r>
        <w:rPr>
          <w:rFonts w:hint="default" w:ascii="Times New Roman" w:hAnsi="Times New Roman" w:eastAsia="仿宋_GB2312" w:cs="Times New Roman"/>
          <w:b/>
          <w:color w:val="auto"/>
          <w:kern w:val="0"/>
          <w:sz w:val="32"/>
          <w:szCs w:val="32"/>
          <w:lang w:val="en-US" w:eastAsia="zh-CN" w:bidi="ar"/>
        </w:rPr>
        <w:t>第一节 高起点发展全域旅游</w:t>
      </w:r>
      <w:bookmarkEnd w:id="29"/>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秉持“山水之间</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理学之源”理念，着力推动旅游业从单一景点景区建设向综合目的地服务转变，从单一的旅游自循环向多行业深度融合的</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旅游</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转变，从单一的门票经济向多产业经济转变，不断推动嵩县全域旅游走在全省、全国前列，最终建成国家全域旅游示范区。至“十四五”末，实现游客人均消费年均增长持续保持10%以上。力争全县旅游年接待量达到</w:t>
      </w:r>
      <w:r>
        <w:rPr>
          <w:rFonts w:hint="default" w:ascii="Times New Roman" w:hAnsi="Times New Roman" w:eastAsia="宋体" w:cs="Times New Roman"/>
          <w:color w:val="auto"/>
          <w:kern w:val="0"/>
          <w:sz w:val="32"/>
          <w:szCs w:val="32"/>
          <w:lang w:val="en-US" w:eastAsia="zh-CN" w:bidi="ar"/>
        </w:rPr>
        <w:t>1800</w:t>
      </w:r>
      <w:r>
        <w:rPr>
          <w:rFonts w:hint="default" w:ascii="Times New Roman" w:hAnsi="Times New Roman" w:eastAsia="仿宋_GB2312" w:cs="Times New Roman"/>
          <w:color w:val="auto"/>
          <w:kern w:val="0"/>
          <w:sz w:val="32"/>
          <w:szCs w:val="32"/>
          <w:lang w:val="en-US" w:eastAsia="zh-CN" w:bidi="ar"/>
        </w:rPr>
        <w:t>万人次，旅游综合收入达到</w:t>
      </w:r>
      <w:r>
        <w:rPr>
          <w:rFonts w:hint="default" w:ascii="Times New Roman" w:hAnsi="Times New Roman" w:eastAsia="宋体" w:cs="Times New Roman"/>
          <w:color w:val="auto"/>
          <w:kern w:val="0"/>
          <w:sz w:val="32"/>
          <w:szCs w:val="32"/>
          <w:lang w:val="en-US" w:eastAsia="zh-CN" w:bidi="ar"/>
        </w:rPr>
        <w:t>60</w:t>
      </w:r>
      <w:r>
        <w:rPr>
          <w:rFonts w:hint="default" w:ascii="Times New Roman" w:hAnsi="Times New Roman" w:eastAsia="仿宋_GB2312" w:cs="Times New Roman"/>
          <w:color w:val="auto"/>
          <w:kern w:val="0"/>
          <w:sz w:val="32"/>
          <w:szCs w:val="32"/>
          <w:lang w:val="en-US" w:eastAsia="zh-CN" w:bidi="ar"/>
        </w:rPr>
        <w:t>亿元，建设旅游集散中心、自驾游营地、旅游驿站，星级饭店，精品旅游民宿集群，支持</w:t>
      </w:r>
      <w:r>
        <w:rPr>
          <w:rFonts w:hint="default" w:ascii="Times New Roman" w:hAnsi="Times New Roman" w:eastAsia="宋体" w:cs="Times New Roman"/>
          <w:color w:val="auto"/>
          <w:kern w:val="0"/>
          <w:sz w:val="32"/>
          <w:szCs w:val="32"/>
          <w:lang w:val="en-US" w:eastAsia="zh-CN" w:bidi="ar"/>
        </w:rPr>
        <w:t>A</w:t>
      </w:r>
      <w:r>
        <w:rPr>
          <w:rFonts w:hint="default" w:ascii="Times New Roman" w:hAnsi="Times New Roman" w:eastAsia="仿宋_GB2312" w:cs="Times New Roman"/>
          <w:color w:val="auto"/>
          <w:kern w:val="0"/>
          <w:sz w:val="32"/>
          <w:szCs w:val="32"/>
          <w:lang w:val="en-US" w:eastAsia="zh-CN" w:bidi="ar"/>
        </w:rPr>
        <w:t>级景区及</w:t>
      </w:r>
      <w:r>
        <w:rPr>
          <w:rFonts w:hint="default" w:ascii="Times New Roman" w:hAnsi="Times New Roman" w:eastAsia="宋体" w:cs="Times New Roman"/>
          <w:color w:val="auto"/>
          <w:kern w:val="0"/>
          <w:sz w:val="32"/>
          <w:szCs w:val="32"/>
          <w:lang w:val="en-US" w:eastAsia="zh-CN" w:bidi="ar"/>
        </w:rPr>
        <w:t>A</w:t>
      </w:r>
      <w:r>
        <w:rPr>
          <w:rFonts w:hint="default" w:ascii="Times New Roman" w:hAnsi="Times New Roman" w:eastAsia="仿宋_GB2312" w:cs="Times New Roman"/>
          <w:color w:val="auto"/>
          <w:kern w:val="0"/>
          <w:sz w:val="32"/>
          <w:szCs w:val="32"/>
          <w:lang w:val="en-US" w:eastAsia="zh-CN" w:bidi="ar"/>
        </w:rPr>
        <w:t>级乡村旅游景区创建，包装打造成熟文化旅游线路、旅游特色小镇、特色村。大力发展餐饮、住宿、娱乐、购物等标准化旅游示范企业。通过核心景区的提升和新景区的培育，形成“</w:t>
      </w:r>
      <w:r>
        <w:rPr>
          <w:rFonts w:hint="default" w:ascii="Times New Roman" w:hAnsi="Times New Roman" w:eastAsia="宋体" w:cs="Times New Roman"/>
          <w:color w:val="auto"/>
          <w:kern w:val="0"/>
          <w:sz w:val="32"/>
          <w:szCs w:val="32"/>
          <w:lang w:val="en-US" w:eastAsia="zh-CN" w:bidi="ar"/>
        </w:rPr>
        <w:t xml:space="preserve">A </w:t>
      </w:r>
      <w:r>
        <w:rPr>
          <w:rFonts w:hint="default" w:ascii="Times New Roman" w:hAnsi="Times New Roman" w:eastAsia="仿宋_GB2312" w:cs="Times New Roman"/>
          <w:color w:val="auto"/>
          <w:kern w:val="0"/>
          <w:sz w:val="32"/>
          <w:szCs w:val="32"/>
          <w:lang w:val="en-US" w:eastAsia="zh-CN" w:bidi="ar"/>
        </w:rPr>
        <w:t>级景区月光满天、乡村景色繁星点点，既有满天繁星、又有皓月当空”的全域旅游发展格局，成为每个人实现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诗和远方</w:t>
      </w:r>
      <w:r>
        <w:rPr>
          <w:rFonts w:hint="default" w:ascii="Times New Roman" w:hAnsi="Times New Roman" w:eastAsia="宋体"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 xml:space="preserve">旅游目的地。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cs="Times New Roman"/>
          <w:color w:val="auto"/>
          <w:sz w:val="32"/>
          <w:szCs w:val="32"/>
        </w:rPr>
      </w:pPr>
      <w:bookmarkStart w:id="30" w:name="_Toc21714"/>
      <w:r>
        <w:rPr>
          <w:rFonts w:hint="default" w:ascii="Times New Roman" w:hAnsi="Times New Roman" w:eastAsia="仿宋_GB2312" w:cs="Times New Roman"/>
          <w:b/>
          <w:color w:val="auto"/>
          <w:kern w:val="0"/>
          <w:sz w:val="32"/>
          <w:szCs w:val="32"/>
          <w:lang w:val="en-US" w:eastAsia="zh-CN" w:bidi="ar"/>
        </w:rPr>
        <w:t>第二节 培育五大旅游业态</w:t>
      </w:r>
      <w:bookmarkEnd w:id="30"/>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突出嵩县独具特色的山岳、水系、森林、文化等资源，浓墨重彩布局全域旅游主要景区（点）和重点项目，形成山水度假游、文化体验游、森林康养游、乡村休闲游、特色节会游等五大特色旅游业态。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山水度假游。</w:t>
      </w:r>
      <w:r>
        <w:rPr>
          <w:rFonts w:hint="default" w:ascii="Times New Roman" w:hAnsi="Times New Roman" w:eastAsia="仿宋_GB2312" w:cs="Times New Roman"/>
          <w:color w:val="auto"/>
          <w:kern w:val="0"/>
          <w:sz w:val="32"/>
          <w:szCs w:val="32"/>
          <w:lang w:val="en-US" w:eastAsia="zh-CN" w:bidi="ar"/>
        </w:rPr>
        <w:t>充分展示嵩县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地跨三域</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的独特地域优势，与自然保护区、地质公园、森林公园、生物多样性保护相结合，打造以避暑、养生、观光、探险、疗养、研学、科普为主要功能的山水度假旅游区。</w:t>
      </w:r>
      <w:r>
        <w:rPr>
          <w:rFonts w:hint="default" w:ascii="Times New Roman" w:hAnsi="Times New Roman" w:eastAsia="仿宋_GB2312" w:cs="Times New Roman"/>
          <w:b/>
          <w:color w:val="auto"/>
          <w:kern w:val="0"/>
          <w:sz w:val="32"/>
          <w:szCs w:val="32"/>
          <w:lang w:val="en-US" w:eastAsia="zh-CN" w:bidi="ar"/>
        </w:rPr>
        <w:t>打造以县城为中心的湖城休闲养生福地。</w:t>
      </w:r>
      <w:r>
        <w:rPr>
          <w:rFonts w:hint="default" w:ascii="Times New Roman" w:hAnsi="Times New Roman" w:eastAsia="仿宋_GB2312" w:cs="Times New Roman"/>
          <w:color w:val="auto"/>
          <w:kern w:val="0"/>
          <w:sz w:val="32"/>
          <w:szCs w:val="32"/>
          <w:lang w:val="en-US" w:eastAsia="zh-CN" w:bidi="ar"/>
        </w:rPr>
        <w:t>依托陆浑国家湿地公园，大力发展以水生态、水文化、水运动和生物多样性体验为特色的亲水旅游产品，布局环陆浑湖生态廊道，马拉松赛道，建成滨水文化展示区、康体休闲养生区、田野风貌体</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验区、湿地科普教育区、城市宜居风光区。</w:t>
      </w:r>
      <w:r>
        <w:rPr>
          <w:rFonts w:hint="default" w:ascii="Times New Roman" w:hAnsi="Times New Roman" w:eastAsia="仿宋_GB2312" w:cs="Times New Roman"/>
          <w:b/>
          <w:color w:val="auto"/>
          <w:kern w:val="0"/>
          <w:sz w:val="32"/>
          <w:szCs w:val="32"/>
          <w:lang w:val="en-US" w:eastAsia="zh-CN" w:bidi="ar"/>
        </w:rPr>
        <w:t>建成白云山国家旅游度假区。</w:t>
      </w:r>
      <w:r>
        <w:rPr>
          <w:rFonts w:hint="default" w:ascii="Times New Roman" w:hAnsi="Times New Roman" w:eastAsia="仿宋_GB2312" w:cs="Times New Roman"/>
          <w:color w:val="auto"/>
          <w:kern w:val="0"/>
          <w:sz w:val="32"/>
          <w:szCs w:val="32"/>
          <w:lang w:val="en-US" w:eastAsia="zh-CN" w:bidi="ar"/>
        </w:rPr>
        <w:t xml:space="preserve">以车村、白河为区域空间，以白云山景区为核心，建设以山地避暑、养生度假、山地运动等为特色的国家级旅游度假区。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培育山地森林体验探险旅游线路。</w:t>
      </w:r>
      <w:r>
        <w:rPr>
          <w:rFonts w:hint="default" w:ascii="Times New Roman" w:hAnsi="Times New Roman" w:eastAsia="仿宋_GB2312" w:cs="Times New Roman"/>
          <w:color w:val="auto"/>
          <w:kern w:val="0"/>
          <w:sz w:val="32"/>
          <w:szCs w:val="32"/>
          <w:lang w:val="en-US" w:eastAsia="zh-CN" w:bidi="ar"/>
        </w:rPr>
        <w:t>整合伏牛山高山地貌和瀑布、湿地生态资源，梯次开发，培育后湖、龙池曼、五道潭等山地森林体验探险旅游线路；</w:t>
      </w:r>
      <w:r>
        <w:rPr>
          <w:rFonts w:hint="default" w:ascii="Times New Roman" w:hAnsi="Times New Roman" w:eastAsia="仿宋_GB2312" w:cs="Times New Roman"/>
          <w:b/>
          <w:color w:val="auto"/>
          <w:kern w:val="0"/>
          <w:sz w:val="32"/>
          <w:szCs w:val="32"/>
          <w:lang w:val="en-US" w:eastAsia="zh-CN" w:bidi="ar"/>
        </w:rPr>
        <w:t>做大做强冬季旅游产品。</w:t>
      </w:r>
      <w:r>
        <w:rPr>
          <w:rFonts w:hint="default" w:ascii="Times New Roman" w:hAnsi="Times New Roman" w:eastAsia="仿宋_GB2312" w:cs="Times New Roman"/>
          <w:color w:val="auto"/>
          <w:kern w:val="0"/>
          <w:sz w:val="32"/>
          <w:szCs w:val="32"/>
          <w:lang w:val="en-US" w:eastAsia="zh-CN" w:bidi="ar"/>
        </w:rPr>
        <w:t>整合白云山、白云小镇、木札岭等景区的滑雪、冰挂类冬季旅游产品，组拳出击，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丰富旅游业态，提升产品美誉度和知名度。到 </w:t>
      </w:r>
      <w:r>
        <w:rPr>
          <w:rFonts w:hint="default" w:ascii="Times New Roman" w:hAnsi="Times New Roman" w:eastAsia="宋体" w:cs="Times New Roman"/>
          <w:color w:val="auto"/>
          <w:kern w:val="0"/>
          <w:sz w:val="32"/>
          <w:szCs w:val="32"/>
          <w:lang w:val="en-US" w:eastAsia="zh-CN" w:bidi="ar"/>
        </w:rPr>
        <w:t xml:space="preserve">2025 </w:t>
      </w:r>
      <w:r>
        <w:rPr>
          <w:rFonts w:hint="default" w:ascii="Times New Roman" w:hAnsi="Times New Roman" w:eastAsia="仿宋_GB2312" w:cs="Times New Roman"/>
          <w:color w:val="auto"/>
          <w:kern w:val="0"/>
          <w:sz w:val="32"/>
          <w:szCs w:val="32"/>
          <w:lang w:val="en-US" w:eastAsia="zh-CN" w:bidi="ar"/>
        </w:rPr>
        <w:t>年，打造嵩县山水</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最自然水上嵩县、最风景迷人后花园、最功能生态绿道、最聚集人气胜地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四张名片，建成中原地区的城市会客厅、文旅综合体和休闲养生福地。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文化体验游。</w:t>
      </w:r>
      <w:r>
        <w:rPr>
          <w:rFonts w:hint="default" w:ascii="Times New Roman" w:hAnsi="Times New Roman" w:eastAsia="仿宋_GB2312" w:cs="Times New Roman"/>
          <w:color w:val="auto"/>
          <w:kern w:val="0"/>
          <w:sz w:val="32"/>
          <w:szCs w:val="32"/>
          <w:lang w:val="en-US" w:eastAsia="zh-CN" w:bidi="ar"/>
        </w:rPr>
        <w:t>发挥嵩县集理、释、道文化于一体的优势，深入挖掘优秀传统文化的精神内核和时代价值，以九大文旅项目为载体，发展理学文化研学游、农耕文化体验游、民俗文化展演展示游，展现嵩县文化独特魅力的靓丽品牌，充分释放文旅融合的新元素、新内涵。</w:t>
      </w:r>
      <w:r>
        <w:rPr>
          <w:rFonts w:hint="default" w:ascii="Times New Roman" w:hAnsi="Times New Roman" w:eastAsia="仿宋_GB2312" w:cs="Times New Roman"/>
          <w:b/>
          <w:color w:val="auto"/>
          <w:kern w:val="0"/>
          <w:sz w:val="32"/>
          <w:szCs w:val="32"/>
          <w:lang w:val="en-US" w:eastAsia="zh-CN" w:bidi="ar"/>
        </w:rPr>
        <w:t>培育二程文化旅游品牌。</w:t>
      </w:r>
      <w:r>
        <w:rPr>
          <w:rFonts w:hint="default" w:ascii="Times New Roman" w:hAnsi="Times New Roman" w:eastAsia="仿宋_GB2312" w:cs="Times New Roman"/>
          <w:color w:val="auto"/>
          <w:kern w:val="0"/>
          <w:sz w:val="32"/>
          <w:szCs w:val="32"/>
          <w:lang w:val="en-US" w:eastAsia="zh-CN" w:bidi="ar"/>
        </w:rPr>
        <w:t>推进程村等历史文化名村保护修缮，提升二程故里文化遗产保护利用水平；深挖“二程”理学文化资源内涵，谋划实施著述楼重建工程，展现“二程”理学贡献，讲好程门立雪故事，建设以北宋官式建筑为主题风格的二程故里文化山水园，注重与陆浑湖周边山水旅游资源互动，打造理学文化主题突出、生态环境优美的国内知名文化研修基地。</w:t>
      </w:r>
      <w:r>
        <w:rPr>
          <w:rFonts w:hint="default" w:ascii="Times New Roman" w:hAnsi="Times New Roman" w:eastAsia="仿宋_GB2312" w:cs="Times New Roman"/>
          <w:b/>
          <w:color w:val="auto"/>
          <w:kern w:val="0"/>
          <w:sz w:val="32"/>
          <w:szCs w:val="32"/>
          <w:lang w:val="en-US" w:eastAsia="zh-CN" w:bidi="ar"/>
        </w:rPr>
        <w:t>筹建伊尹文化产业园。</w:t>
      </w:r>
      <w:r>
        <w:rPr>
          <w:rFonts w:hint="default" w:ascii="Times New Roman" w:hAnsi="Times New Roman" w:eastAsia="仿宋_GB2312" w:cs="Times New Roman"/>
          <w:color w:val="auto"/>
          <w:kern w:val="0"/>
          <w:sz w:val="32"/>
          <w:szCs w:val="32"/>
          <w:lang w:val="en-US" w:eastAsia="zh-CN" w:bidi="ar"/>
        </w:rPr>
        <w:t>依托伊尹祠，挖掘整合相文化、商汤文化、中原庖厨文化、中医药文化，用具有鲜明色彩的地域文化元素改善周边村容村貌，打造农耕文化主题突出的伊尹文化产业园。</w:t>
      </w:r>
      <w:r>
        <w:rPr>
          <w:rFonts w:hint="default" w:ascii="Times New Roman" w:hAnsi="Times New Roman" w:eastAsia="仿宋_GB2312" w:cs="Times New Roman"/>
          <w:b/>
          <w:color w:val="auto"/>
          <w:kern w:val="0"/>
          <w:sz w:val="32"/>
          <w:szCs w:val="32"/>
          <w:lang w:val="en-US" w:eastAsia="zh-CN" w:bidi="ar"/>
        </w:rPr>
        <w:t>弘扬红色文化</w:t>
      </w:r>
      <w:r>
        <w:rPr>
          <w:rFonts w:hint="default" w:ascii="Times New Roman" w:hAnsi="Times New Roman" w:eastAsia="仿宋_GB2312" w:cs="Times New Roman"/>
          <w:color w:val="auto"/>
          <w:kern w:val="0"/>
          <w:sz w:val="32"/>
          <w:szCs w:val="32"/>
          <w:lang w:val="en-US" w:eastAsia="zh-CN" w:bidi="ar"/>
        </w:rPr>
        <w:t>。依托天池山、红二十五军长征纪念馆、河大抗战办学纪念馆等红色资源，弘扬红色文化，打造红色文化旅游阵地，丰富文化内涵。</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森林康养游。</w:t>
      </w:r>
      <w:r>
        <w:rPr>
          <w:rFonts w:hint="default" w:ascii="Times New Roman" w:hAnsi="Times New Roman" w:eastAsia="仿宋_GB2312" w:cs="Times New Roman"/>
          <w:color w:val="auto"/>
          <w:kern w:val="0"/>
          <w:sz w:val="32"/>
          <w:szCs w:val="32"/>
          <w:lang w:val="en-US" w:eastAsia="zh-CN" w:bidi="ar"/>
        </w:rPr>
        <w:t xml:space="preserve">践行“绿水青山就是金山银山”理念，依托伏牛山丰富的森林资源，进一步拓展“中国天然氧吧县”内涵，以白云山、木札岭省级森林康养基地，天池山国家森林公园为核心，大力发展森林康养游。以森林氧吧、森林音乐为主，建设白云山保健型森林康养项目，打造“森林医院”、森林康养主题酒店。以登山、散步、慢跑为内容，建设漫游步道、国家登山健身步道，打造天池山运动型森林康养项目。以白河云岩寺为核心，建设太极、养生操等活动场馆，培育文化型森林康养基地。以木札岭为中心，依托现有客源市场，建设养老、休闲等设施，发展养老型森林康养项目。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乡村体验游。</w:t>
      </w:r>
      <w:r>
        <w:rPr>
          <w:rFonts w:hint="default" w:ascii="Times New Roman" w:hAnsi="Times New Roman" w:eastAsia="仿宋_GB2312" w:cs="Times New Roman"/>
          <w:color w:val="auto"/>
          <w:kern w:val="0"/>
          <w:sz w:val="32"/>
          <w:szCs w:val="32"/>
          <w:lang w:val="en-US" w:eastAsia="zh-CN" w:bidi="ar"/>
        </w:rPr>
        <w:t xml:space="preserve">扎实推进乡村振兴战略，有效巩固脱贫攻坚成果，大力推动乡村体验游。走融合发展道路，整合现代化农业、林业、水利、文化、科技等资源，以乡土文化为灵魂，以特色农业现代化园区和新型农村社区为重要载体，大力发展伊河文化休闲旅游带和汝河山水研学旅游带，建设农耕文化、山村民居等主题景观，打造一批精品特色民俗，拓展乡村旅游的观光、休闲、体验功能。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优化乡村旅游环境。</w:t>
      </w:r>
      <w:r>
        <w:rPr>
          <w:rFonts w:hint="default" w:ascii="Times New Roman" w:hAnsi="Times New Roman" w:eastAsia="仿宋_GB2312" w:cs="Times New Roman"/>
          <w:color w:val="auto"/>
          <w:kern w:val="0"/>
          <w:sz w:val="32"/>
          <w:szCs w:val="32"/>
          <w:lang w:val="en-US" w:eastAsia="zh-CN" w:bidi="ar"/>
        </w:rPr>
        <w:t>结合“</w:t>
      </w:r>
      <w:r>
        <w:rPr>
          <w:rFonts w:hint="default" w:ascii="Times New Roman" w:hAnsi="Times New Roman" w:eastAsia="宋体" w:cs="Times New Roman"/>
          <w:color w:val="auto"/>
          <w:kern w:val="0"/>
          <w:sz w:val="32"/>
          <w:szCs w:val="32"/>
          <w:lang w:val="en-US" w:eastAsia="zh-CN" w:bidi="ar"/>
        </w:rPr>
        <w:t>572510</w:t>
      </w:r>
      <w:r>
        <w:rPr>
          <w:rFonts w:hint="default" w:ascii="Times New Roman" w:hAnsi="Times New Roman" w:eastAsia="仿宋_GB2312" w:cs="Times New Roman"/>
          <w:color w:val="auto"/>
          <w:kern w:val="0"/>
          <w:sz w:val="32"/>
          <w:szCs w:val="32"/>
          <w:lang w:val="en-US" w:eastAsia="zh-CN" w:bidi="ar"/>
        </w:rPr>
        <w:t xml:space="preserve">”工程，持续完善乡村旅游基础设施，重点对街道、建筑风貌、景观小品、重要节点空间、地标形象等进行提升。合理实施民居改造、道路改造、村庄绿化、垃圾处理、污水处理等基础设施建设工程。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推出“嵩上好礼”品牌系列产品。</w:t>
      </w:r>
      <w:r>
        <w:rPr>
          <w:rFonts w:hint="default" w:ascii="Times New Roman" w:hAnsi="Times New Roman" w:eastAsia="仿宋_GB2312" w:cs="Times New Roman"/>
          <w:color w:val="auto"/>
          <w:kern w:val="0"/>
          <w:sz w:val="32"/>
          <w:szCs w:val="32"/>
          <w:lang w:val="en-US" w:eastAsia="zh-CN" w:bidi="ar"/>
        </w:rPr>
        <w:t>整合富有浓郁地方特色的农副产品，统一包装、统一宣传，重点提升闫庄大葱、花生，白云山珍、黄柏贡米、陆浑银鱼、白河银杏等品质形象，打造成为系列旅游产品。深挖农业文化内涵，开发烙画等“农业</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文化”的文创产品。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建设特色村镇。</w:t>
      </w:r>
      <w:r>
        <w:rPr>
          <w:rFonts w:hint="default" w:ascii="Times New Roman" w:hAnsi="Times New Roman" w:eastAsia="仿宋_GB2312" w:cs="Times New Roman"/>
          <w:color w:val="auto"/>
          <w:kern w:val="0"/>
          <w:sz w:val="32"/>
          <w:szCs w:val="32"/>
          <w:lang w:val="en-US" w:eastAsia="zh-CN" w:bidi="ar"/>
        </w:rPr>
        <w:t>围绕乡土文化体验游和特色农业体验游，遴选一批资源品质高、基础条件好、交通便利的特色小镇和特色村，高起点打造乡村休闲旅游点。重点打造城关嵩州古城、田湖理学古镇等特色小镇。推进村史馆、乡愁博物馆等重点项目和产品的深度开发，至</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十四五</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末，力争建成村史馆和乡愁博物馆</w:t>
      </w:r>
      <w:r>
        <w:rPr>
          <w:rFonts w:hint="default" w:ascii="Times New Roman" w:hAnsi="Times New Roman" w:eastAsia="宋体"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val="en-US" w:eastAsia="zh-CN" w:bidi="ar"/>
        </w:rPr>
        <w:t xml:space="preserve">个。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特色节会游。</w:t>
      </w:r>
      <w:r>
        <w:rPr>
          <w:rFonts w:hint="default" w:ascii="Times New Roman" w:hAnsi="Times New Roman" w:eastAsia="仿宋_GB2312" w:cs="Times New Roman"/>
          <w:color w:val="auto"/>
          <w:kern w:val="0"/>
          <w:sz w:val="32"/>
          <w:szCs w:val="32"/>
          <w:lang w:val="en-US" w:eastAsia="zh-CN" w:bidi="ar"/>
        </w:rPr>
        <w:t>针对不同季节、不同区域，开发复合型旅游产品，唱响旅游“四季歌”，推动旅游“四季热”。</w:t>
      </w:r>
      <w:r>
        <w:rPr>
          <w:rFonts w:hint="default" w:ascii="Times New Roman" w:hAnsi="Times New Roman" w:eastAsia="仿宋_GB2312" w:cs="Times New Roman"/>
          <w:b/>
          <w:color w:val="auto"/>
          <w:kern w:val="0"/>
          <w:sz w:val="32"/>
          <w:szCs w:val="32"/>
          <w:lang w:val="en-US" w:eastAsia="zh-CN" w:bidi="ar"/>
        </w:rPr>
        <w:t>突出“春赏花”。</w:t>
      </w:r>
      <w:r>
        <w:rPr>
          <w:rFonts w:hint="default" w:ascii="Times New Roman" w:hAnsi="Times New Roman" w:eastAsia="仿宋_GB2312" w:cs="Times New Roman"/>
          <w:color w:val="auto"/>
          <w:kern w:val="0"/>
          <w:sz w:val="32"/>
          <w:szCs w:val="32"/>
          <w:lang w:val="en-US" w:eastAsia="zh-CN" w:bidi="ar"/>
        </w:rPr>
        <w:t>春季做好“花”的文章，栽花树、育花海，把踏青、赏花、摄影、休闲等元素有机结合起来，持续做靓油菜花、桃花、梅花等一批主题各异的自然赏花基地，打造内容丰富、特色鲜明的</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花季</w:t>
      </w:r>
      <w:r>
        <w:rPr>
          <w:rFonts w:hint="default" w:ascii="Times New Roman" w:hAnsi="Times New Roman" w:eastAsia="宋体"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旅游节庆品牌，做大“赏花经济”蛋糕。</w:t>
      </w:r>
      <w:r>
        <w:rPr>
          <w:rFonts w:hint="default" w:ascii="Times New Roman" w:hAnsi="Times New Roman" w:eastAsia="仿宋_GB2312" w:cs="Times New Roman"/>
          <w:b/>
          <w:color w:val="auto"/>
          <w:kern w:val="0"/>
          <w:sz w:val="32"/>
          <w:szCs w:val="32"/>
          <w:lang w:val="en-US" w:eastAsia="zh-CN" w:bidi="ar"/>
        </w:rPr>
        <w:t>突出“夏避暑”。</w:t>
      </w:r>
      <w:r>
        <w:rPr>
          <w:rFonts w:hint="default" w:ascii="Times New Roman" w:hAnsi="Times New Roman" w:eastAsia="仿宋_GB2312" w:cs="Times New Roman"/>
          <w:color w:val="auto"/>
          <w:kern w:val="0"/>
          <w:sz w:val="32"/>
          <w:szCs w:val="32"/>
          <w:lang w:val="en-US" w:eastAsia="zh-CN" w:bidi="ar"/>
        </w:rPr>
        <w:t>挖掘利用高山区域夏日凉爽的特点，开发好纳凉、露营、亲水等夏季旅游项目。</w:t>
      </w:r>
      <w:r>
        <w:rPr>
          <w:rFonts w:hint="default" w:ascii="Times New Roman" w:hAnsi="Times New Roman" w:eastAsia="仿宋_GB2312" w:cs="Times New Roman"/>
          <w:b/>
          <w:color w:val="auto"/>
          <w:kern w:val="0"/>
          <w:sz w:val="32"/>
          <w:szCs w:val="32"/>
          <w:lang w:val="en-US" w:eastAsia="zh-CN" w:bidi="ar"/>
        </w:rPr>
        <w:t>突出“秋观叶”。</w:t>
      </w:r>
      <w:r>
        <w:rPr>
          <w:rFonts w:hint="default" w:ascii="Times New Roman" w:hAnsi="Times New Roman" w:eastAsia="仿宋_GB2312" w:cs="Times New Roman"/>
          <w:color w:val="auto"/>
          <w:kern w:val="0"/>
          <w:sz w:val="32"/>
          <w:szCs w:val="32"/>
          <w:lang w:val="en-US" w:eastAsia="zh-CN" w:bidi="ar"/>
        </w:rPr>
        <w:t>按照习总书记“红叶是建设美丽中国的宝贝”重要指示，全力办好红叶节、银杏节等节会活动。做精“果”的文章，利用国庆、重阳等节日，举办丰收节等节庆活动，放大葡萄、梨、鲜桃等瓜果采摘体验游影响力，厚植嵩县美食文化，打造美食名店名品。</w:t>
      </w:r>
      <w:r>
        <w:rPr>
          <w:rFonts w:hint="default" w:ascii="Times New Roman" w:hAnsi="Times New Roman" w:eastAsia="仿宋_GB2312" w:cs="Times New Roman"/>
          <w:b/>
          <w:color w:val="auto"/>
          <w:kern w:val="0"/>
          <w:sz w:val="32"/>
          <w:szCs w:val="32"/>
          <w:lang w:val="en-US" w:eastAsia="zh-CN" w:bidi="ar"/>
        </w:rPr>
        <w:t>突出</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冬玩雪</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持续举办好“大美嵩县</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冰雪盛宴”、木札岭冰挂节等活动，创新开发“以雪为媒”的旅游新产品。做特“雪”的文章，注入文化元素，增加文化体验项目。通过赏花节、采摘节、银杏节、开渔节、冰雪节、</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陆浑拍客</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寻找国宝</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、围棋赛、马拉松赛等文旅节会活动，打造</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马拉松之县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等节会品牌。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31" w:name="_Toc9729"/>
      <w:r>
        <w:rPr>
          <w:rFonts w:hint="default" w:ascii="Times New Roman" w:hAnsi="Times New Roman" w:eastAsia="仿宋_GB2312" w:cs="Times New Roman"/>
          <w:b/>
          <w:color w:val="auto"/>
          <w:kern w:val="0"/>
          <w:sz w:val="32"/>
          <w:szCs w:val="32"/>
          <w:lang w:val="en-US" w:eastAsia="zh-CN" w:bidi="ar"/>
        </w:rPr>
        <w:t>第三节 优化提升旅游基础设施服务设施</w:t>
      </w:r>
      <w:bookmarkEnd w:id="31"/>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推动 </w:t>
      </w:r>
      <w:r>
        <w:rPr>
          <w:rFonts w:hint="default" w:ascii="Times New Roman" w:hAnsi="Times New Roman" w:eastAsia="宋体" w:cs="Times New Roman"/>
          <w:b/>
          <w:color w:val="auto"/>
          <w:kern w:val="0"/>
          <w:sz w:val="32"/>
          <w:szCs w:val="32"/>
          <w:lang w:val="en-US" w:eastAsia="zh-CN" w:bidi="ar"/>
        </w:rPr>
        <w:t xml:space="preserve">A </w:t>
      </w:r>
      <w:r>
        <w:rPr>
          <w:rFonts w:hint="default" w:ascii="Times New Roman" w:hAnsi="Times New Roman" w:eastAsia="仿宋_GB2312" w:cs="Times New Roman"/>
          <w:b/>
          <w:color w:val="auto"/>
          <w:kern w:val="0"/>
          <w:sz w:val="32"/>
          <w:szCs w:val="32"/>
          <w:lang w:val="en-US" w:eastAsia="zh-CN" w:bidi="ar"/>
        </w:rPr>
        <w:t>级景区提质提档。</w:t>
      </w:r>
      <w:r>
        <w:rPr>
          <w:rFonts w:hint="default" w:ascii="Times New Roman" w:hAnsi="Times New Roman" w:eastAsia="仿宋_GB2312" w:cs="Times New Roman"/>
          <w:color w:val="auto"/>
          <w:kern w:val="0"/>
          <w:sz w:val="32"/>
          <w:szCs w:val="32"/>
          <w:lang w:val="en-US" w:eastAsia="zh-CN" w:bidi="ar"/>
        </w:rPr>
        <w:t>高质量、高标准推动白云山、天池山、木札岭提档升级。实现规范化、智慧化、多元化发展，做好标准化管理、人性化服务，充分发挥示范带动作用，打造嵩县核心景区的发展标杆。建设下庙游客服务中心、地质公园、月亮湾康养中心等重点项目，丰富避暑度假、森林康养、山地运动等旅游内涵，成功创建复合型的白云山国家旅游度假区。天池山实施国家</w:t>
      </w:r>
      <w:r>
        <w:rPr>
          <w:rFonts w:hint="default" w:ascii="Times New Roman" w:hAnsi="Times New Roman" w:eastAsia="宋体" w:cs="Times New Roman"/>
          <w:color w:val="auto"/>
          <w:kern w:val="0"/>
          <w:sz w:val="32"/>
          <w:szCs w:val="32"/>
          <w:lang w:val="en-US" w:eastAsia="zh-CN" w:bidi="ar"/>
        </w:rPr>
        <w:t>5A</w:t>
      </w:r>
      <w:r>
        <w:rPr>
          <w:rFonts w:hint="default" w:ascii="Times New Roman" w:hAnsi="Times New Roman" w:eastAsia="仿宋_GB2312" w:cs="Times New Roman"/>
          <w:color w:val="auto"/>
          <w:kern w:val="0"/>
          <w:sz w:val="32"/>
          <w:szCs w:val="32"/>
          <w:lang w:val="en-US" w:eastAsia="zh-CN" w:bidi="ar"/>
        </w:rPr>
        <w:t>级景区提升项目。着重突出红色文化、森林康养等要素，提升打造特色景点，完善游客服务中心、旅游公厕、停车场、智慧旅游等设施，打造中原地区集山水、红色文化、养生为一体的大型文化旅游综合体。通过招商引资，整合木札岭及周边旅游要素，打造森林、康养、体验、赏雪等多种内容的复合山水体验园区。持续完善</w:t>
      </w:r>
      <w:r>
        <w:rPr>
          <w:rFonts w:hint="default" w:ascii="Times New Roman" w:hAnsi="Times New Roman" w:eastAsia="宋体" w:cs="Times New Roman"/>
          <w:color w:val="auto"/>
          <w:kern w:val="0"/>
          <w:sz w:val="32"/>
          <w:szCs w:val="32"/>
          <w:lang w:val="en-US" w:eastAsia="zh-CN" w:bidi="ar"/>
        </w:rPr>
        <w:t>A</w:t>
      </w:r>
      <w:r>
        <w:rPr>
          <w:rFonts w:hint="default" w:ascii="Times New Roman" w:hAnsi="Times New Roman" w:eastAsia="仿宋_GB2312" w:cs="Times New Roman"/>
          <w:color w:val="auto"/>
          <w:kern w:val="0"/>
          <w:sz w:val="32"/>
          <w:szCs w:val="32"/>
          <w:lang w:val="en-US" w:eastAsia="zh-CN" w:bidi="ar"/>
        </w:rPr>
        <w:t xml:space="preserve">级景区的基础设施，突出特色，打造石头部落、手绘小镇等精品景区。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积极培育亮点景区</w:t>
      </w:r>
      <w:r>
        <w:rPr>
          <w:rFonts w:hint="default" w:ascii="Times New Roman" w:hAnsi="Times New Roman" w:eastAsia="仿宋_GB2312" w:cs="Times New Roman"/>
          <w:color w:val="auto"/>
          <w:kern w:val="0"/>
          <w:sz w:val="32"/>
          <w:szCs w:val="32"/>
          <w:lang w:val="en-US" w:eastAsia="zh-CN" w:bidi="ar"/>
        </w:rPr>
        <w:t xml:space="preserve">。选择旅游资源特色突出、生态环境良好、交通便利、资源相对集中的特色小镇、生态旅游村，整合资源，彰显特色，明确主题，塑造品牌。围绕五大业态，逐步构建产品丰富、产业结构优化、功能配套完善、综合效益显著、带动作用凸显的全域旅游示范区。“十四五”期间，重点实施卧龙谷、杨山、陆浑休闲农业带等区域的 </w:t>
      </w:r>
      <w:r>
        <w:rPr>
          <w:rFonts w:hint="default" w:ascii="Times New Roman" w:hAnsi="Times New Roman" w:eastAsia="宋体" w:cs="Times New Roman"/>
          <w:color w:val="auto"/>
          <w:kern w:val="0"/>
          <w:sz w:val="32"/>
          <w:szCs w:val="32"/>
          <w:lang w:val="en-US" w:eastAsia="zh-CN" w:bidi="ar"/>
        </w:rPr>
        <w:t xml:space="preserve">A </w:t>
      </w:r>
      <w:r>
        <w:rPr>
          <w:rFonts w:hint="default" w:ascii="Times New Roman" w:hAnsi="Times New Roman" w:eastAsia="仿宋_GB2312" w:cs="Times New Roman"/>
          <w:color w:val="auto"/>
          <w:kern w:val="0"/>
          <w:sz w:val="32"/>
          <w:szCs w:val="32"/>
          <w:lang w:val="en-US" w:eastAsia="zh-CN" w:bidi="ar"/>
        </w:rPr>
        <w:t xml:space="preserve">级景区创建工作。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打造舒适旅游环境。加强旅游道路连通。</w:t>
      </w:r>
      <w:r>
        <w:rPr>
          <w:rFonts w:hint="default" w:ascii="Times New Roman" w:hAnsi="Times New Roman" w:eastAsia="仿宋_GB2312" w:cs="Times New Roman"/>
          <w:color w:val="auto"/>
          <w:kern w:val="0"/>
          <w:sz w:val="32"/>
          <w:szCs w:val="32"/>
          <w:lang w:val="en-US" w:eastAsia="zh-CN" w:bidi="ar"/>
        </w:rPr>
        <w:t>优先解决交通干道、城市和重点旅游景区到乡村旅游点的道路交通，提高乡村旅游公路等级标准，打造一批旅游标杆路，重点打通</w:t>
      </w:r>
      <w:r>
        <w:rPr>
          <w:rFonts w:hint="default" w:ascii="Times New Roman" w:hAnsi="Times New Roman" w:eastAsia="宋体" w:cs="Times New Roman"/>
          <w:color w:val="auto"/>
          <w:kern w:val="0"/>
          <w:sz w:val="32"/>
          <w:szCs w:val="32"/>
          <w:lang w:val="en-US" w:eastAsia="zh-CN" w:bidi="ar"/>
        </w:rPr>
        <w:t>A</w:t>
      </w:r>
      <w:r>
        <w:rPr>
          <w:rFonts w:hint="default" w:ascii="Times New Roman" w:hAnsi="Times New Roman" w:eastAsia="仿宋_GB2312" w:cs="Times New Roman"/>
          <w:color w:val="auto"/>
          <w:kern w:val="0"/>
          <w:sz w:val="32"/>
          <w:szCs w:val="32"/>
          <w:lang w:val="en-US" w:eastAsia="zh-CN" w:bidi="ar"/>
        </w:rPr>
        <w:t>级景区和重点旅游村交通路网的“最后一公里”。开通城区到</w:t>
      </w:r>
      <w:r>
        <w:rPr>
          <w:rFonts w:hint="default" w:ascii="Times New Roman" w:hAnsi="Times New Roman" w:eastAsia="宋体" w:cs="Times New Roman"/>
          <w:color w:val="auto"/>
          <w:kern w:val="0"/>
          <w:sz w:val="32"/>
          <w:szCs w:val="32"/>
          <w:lang w:val="en-US" w:eastAsia="zh-CN" w:bidi="ar"/>
        </w:rPr>
        <w:t>3A</w:t>
      </w:r>
      <w:r>
        <w:rPr>
          <w:rFonts w:hint="default" w:ascii="Times New Roman" w:hAnsi="Times New Roman" w:eastAsia="仿宋_GB2312" w:cs="Times New Roman"/>
          <w:color w:val="auto"/>
          <w:kern w:val="0"/>
          <w:sz w:val="32"/>
          <w:szCs w:val="32"/>
          <w:lang w:val="en-US" w:eastAsia="zh-CN" w:bidi="ar"/>
        </w:rPr>
        <w:t>级景区的快捷公交专线或旅游观光巴士，形成畅达的全域旅游交通网络。</w:t>
      </w:r>
      <w:r>
        <w:rPr>
          <w:rFonts w:hint="default" w:ascii="Times New Roman" w:hAnsi="Times New Roman" w:eastAsia="仿宋_GB2312" w:cs="Times New Roman"/>
          <w:b/>
          <w:color w:val="auto"/>
          <w:kern w:val="0"/>
          <w:sz w:val="32"/>
          <w:szCs w:val="32"/>
          <w:lang w:val="en-US" w:eastAsia="zh-CN" w:bidi="ar"/>
        </w:rPr>
        <w:t>打造旅游风景廊道。</w:t>
      </w:r>
      <w:r>
        <w:rPr>
          <w:rFonts w:hint="default" w:ascii="Times New Roman" w:hAnsi="Times New Roman" w:eastAsia="仿宋_GB2312" w:cs="Times New Roman"/>
          <w:color w:val="auto"/>
          <w:kern w:val="0"/>
          <w:sz w:val="32"/>
          <w:szCs w:val="32"/>
          <w:lang w:val="en-US" w:eastAsia="zh-CN" w:bidi="ar"/>
        </w:rPr>
        <w:t>树立“亲近自然、享受绿色”的山乡理念，构建连续、安全、通畅的全域旅游步行绿道、骑行绿道、自驾游绿道。统一设计、制作、安装嵩县乡村、旅游标识系统、地标建筑，实施旅游咨询服务点、旅游驿站全覆盖工程。</w:t>
      </w:r>
      <w:r>
        <w:rPr>
          <w:rFonts w:hint="default" w:ascii="Times New Roman" w:hAnsi="Times New Roman" w:eastAsia="仿宋_GB2312" w:cs="Times New Roman"/>
          <w:b/>
          <w:color w:val="auto"/>
          <w:kern w:val="0"/>
          <w:sz w:val="32"/>
          <w:szCs w:val="32"/>
          <w:lang w:val="en-US" w:eastAsia="zh-CN" w:bidi="ar"/>
        </w:rPr>
        <w:t>建设嵩县</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智慧旅游</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系统。</w:t>
      </w:r>
      <w:r>
        <w:rPr>
          <w:rFonts w:hint="default" w:ascii="Times New Roman" w:hAnsi="Times New Roman" w:eastAsia="仿宋_GB2312" w:cs="Times New Roman"/>
          <w:color w:val="auto"/>
          <w:kern w:val="0"/>
          <w:sz w:val="32"/>
          <w:szCs w:val="32"/>
          <w:lang w:val="en-US" w:eastAsia="zh-CN" w:bidi="ar"/>
        </w:rPr>
        <w:t xml:space="preserve">建成“一网（嵩县旅游信息网）、一平台（嵩县旅游与管理数字化平台）、四个中心（数据服务中心、监测控制中心、信息发布中心、调度与指挥中心）”，实施“三大工程（智能电子商务系统、电子政务管理系统、游客在线服务系统）”，涵盖酒店、主要景区、停车场、加油站、自驾游中心、旅游公厕等。到2025年，实现全县3A景区5G全覆盖，旅游基础设施基本达到国际旅游目的地标准。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规范经营管理，营造良好旅游氛围。不断壮大旅游人才队伍。</w:t>
      </w:r>
      <w:r>
        <w:rPr>
          <w:rFonts w:hint="default" w:ascii="Times New Roman" w:hAnsi="Times New Roman" w:eastAsia="仿宋_GB2312" w:cs="Times New Roman"/>
          <w:color w:val="auto"/>
          <w:kern w:val="0"/>
          <w:sz w:val="32"/>
          <w:szCs w:val="32"/>
          <w:lang w:val="en-US" w:eastAsia="zh-CN" w:bidi="ar"/>
        </w:rPr>
        <w:t xml:space="preserve">谋划建设陆浑文化旅游人才培训学院，打造中原一流的旅游人才培训基地。持续实施文化旅游人才引进计划，引进研究生及以上文化旅游专业人才，重点培育和壮大营销策划型人才、经营管理型人才、导游讲解员三支旅游队伍。全行业标准化管理。结合“吃住行游购娱”六大要素，按照“处处能旅游、时时可旅游、行行加旅游、人人享旅游”的标准，推进文化旅游进行全区域、全行业、全时段的标准化提升工程，加大培训、执法等管理力度，不仅实现全地域的全域旅游，而且凸显全时空、全行业的全域旅游，实现全域旅游的高质量发展。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40" w:type="dxa"/>
            <w:noWrap w:val="0"/>
            <w:vAlign w:val="top"/>
          </w:tcPr>
          <w:p>
            <w:pPr>
              <w:pStyle w:val="2"/>
              <w:pageBreakBefore w:val="0"/>
              <w:kinsoku/>
              <w:wordWrap/>
              <w:bidi w:val="0"/>
              <w:spacing w:beforeAutospacing="0" w:afterAutospacing="0" w:line="580" w:lineRule="exact"/>
              <w:ind w:left="0"/>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方正黑体简体" w:cs="Times New Roman"/>
                <w:b w:val="0"/>
                <w:bCs w:val="0"/>
                <w:color w:val="auto"/>
                <w:sz w:val="30"/>
                <w:szCs w:val="30"/>
                <w:highlight w:val="none"/>
              </w:rPr>
              <w:t>专栏</w:t>
            </w:r>
            <w:r>
              <w:rPr>
                <w:rFonts w:hint="default" w:ascii="Times New Roman" w:hAnsi="Times New Roman" w:eastAsia="方正黑体简体" w:cs="Times New Roman"/>
                <w:b w:val="0"/>
                <w:bCs w:val="0"/>
                <w:color w:val="auto"/>
                <w:sz w:val="30"/>
                <w:szCs w:val="30"/>
                <w:highlight w:val="none"/>
                <w:lang w:val="en-US" w:eastAsia="zh-CN"/>
              </w:rPr>
              <w:t>4</w:t>
            </w:r>
            <w:r>
              <w:rPr>
                <w:rFonts w:hint="default" w:ascii="Times New Roman" w:hAnsi="Times New Roman" w:eastAsia="方正黑体简体" w:cs="Times New Roman"/>
                <w:b w:val="0"/>
                <w:bCs w:val="0"/>
                <w:color w:val="auto"/>
                <w:sz w:val="30"/>
                <w:szCs w:val="30"/>
                <w:highlight w:val="none"/>
              </w:rPr>
              <w:t>：</w:t>
            </w:r>
            <w:r>
              <w:rPr>
                <w:rFonts w:hint="default" w:ascii="Times New Roman" w:hAnsi="Times New Roman" w:eastAsia="方正黑体简体" w:cs="Times New Roman"/>
                <w:b w:val="0"/>
                <w:bCs w:val="0"/>
                <w:color w:val="auto"/>
                <w:sz w:val="30"/>
                <w:szCs w:val="30"/>
                <w:highlight w:val="none"/>
                <w:lang w:eastAsia="zh-CN"/>
              </w:rPr>
              <w:t>“</w:t>
            </w:r>
            <w:r>
              <w:rPr>
                <w:rFonts w:hint="default" w:ascii="Times New Roman" w:hAnsi="Times New Roman" w:eastAsia="方正黑体简体" w:cs="Times New Roman"/>
                <w:b w:val="0"/>
                <w:bCs w:val="0"/>
                <w:color w:val="auto"/>
                <w:sz w:val="30"/>
                <w:szCs w:val="30"/>
                <w:highlight w:val="none"/>
              </w:rPr>
              <w:t>十四五”</w:t>
            </w:r>
            <w:r>
              <w:rPr>
                <w:rFonts w:hint="default" w:ascii="Times New Roman" w:hAnsi="Times New Roman" w:eastAsia="方正黑体简体" w:cs="Times New Roman"/>
                <w:b w:val="0"/>
                <w:bCs w:val="0"/>
                <w:color w:val="auto"/>
                <w:sz w:val="30"/>
                <w:szCs w:val="30"/>
                <w:highlight w:val="none"/>
                <w:lang w:val="en-US" w:eastAsia="zh-CN"/>
              </w:rPr>
              <w:t>全域旅游</w:t>
            </w:r>
            <w:r>
              <w:rPr>
                <w:rFonts w:hint="default" w:ascii="Times New Roman" w:hAnsi="Times New Roman" w:eastAsia="方正黑体简体" w:cs="Times New Roman"/>
                <w:b w:val="0"/>
                <w:bCs w:val="0"/>
                <w:color w:val="auto"/>
                <w:sz w:val="30"/>
                <w:szCs w:val="30"/>
                <w:highlight w:val="none"/>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8" w:hRule="atLeast"/>
          <w:jc w:val="center"/>
        </w:trPr>
        <w:tc>
          <w:tcPr>
            <w:tcW w:w="8840" w:type="dxa"/>
            <w:noWrap w:val="0"/>
            <w:vAlign w:val="top"/>
          </w:tcPr>
          <w:p>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80" w:lineRule="exact"/>
              <w:ind w:left="0"/>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旅游产业提质升级</w:t>
            </w:r>
            <w:r>
              <w:rPr>
                <w:rFonts w:hint="default" w:ascii="Times New Roman" w:hAnsi="Times New Roman" w:eastAsia="仿宋_GB2312" w:cs="Times New Roman"/>
                <w:b/>
                <w:bCs/>
                <w:color w:val="auto"/>
                <w:sz w:val="24"/>
                <w:szCs w:val="24"/>
                <w:highlight w:val="none"/>
                <w:lang w:val="en-US" w:eastAsia="zh-CN"/>
              </w:rPr>
              <w:t>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1、全域旅游示范区基础设施建设项目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2、A级旅游景区及乡村旅游景区提升及创建项目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3、白云山国家旅游度假区</w:t>
            </w:r>
            <w:r>
              <w:rPr>
                <w:rFonts w:hint="default" w:ascii="Times New Roman" w:hAnsi="Times New Roman" w:eastAsia="仿宋_GB2312" w:cs="Times New Roman"/>
                <w:color w:val="auto"/>
                <w:sz w:val="24"/>
                <w:szCs w:val="24"/>
                <w:highlight w:val="none"/>
                <w:lang w:eastAsia="zh-CN"/>
              </w:rPr>
              <w:t>建设</w:t>
            </w:r>
            <w:r>
              <w:rPr>
                <w:rFonts w:hint="default" w:ascii="Times New Roman" w:hAnsi="Times New Roman" w:eastAsia="仿宋_GB2312" w:cs="Times New Roman"/>
                <w:color w:val="auto"/>
                <w:sz w:val="24"/>
                <w:szCs w:val="24"/>
                <w:highlight w:val="none"/>
              </w:rPr>
              <w:t>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嵩县千年银杏林等景区建设项目；5、</w:t>
            </w:r>
            <w:r>
              <w:rPr>
                <w:rFonts w:hint="default" w:ascii="Times New Roman" w:hAnsi="Times New Roman" w:eastAsia="仿宋_GB2312" w:cs="Times New Roman"/>
                <w:color w:val="auto"/>
                <w:sz w:val="24"/>
                <w:szCs w:val="24"/>
                <w:highlight w:val="none"/>
              </w:rPr>
              <w:t>陆浑湖主动康养示范区建设项目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6、嵩县二程文化产业园；7、</w:t>
            </w:r>
            <w:r>
              <w:rPr>
                <w:rFonts w:hint="default" w:ascii="Times New Roman" w:hAnsi="Times New Roman" w:eastAsia="仿宋_GB2312" w:cs="Times New Roman"/>
                <w:color w:val="auto"/>
                <w:sz w:val="24"/>
                <w:szCs w:val="24"/>
                <w:highlight w:val="none"/>
                <w:lang w:eastAsia="zh-CN"/>
              </w:rPr>
              <w:t>嵩县</w:t>
            </w:r>
            <w:r>
              <w:rPr>
                <w:rFonts w:hint="default" w:ascii="Times New Roman" w:hAnsi="Times New Roman" w:eastAsia="仿宋_GB2312" w:cs="Times New Roman"/>
                <w:color w:val="auto"/>
                <w:sz w:val="24"/>
                <w:szCs w:val="24"/>
                <w:highlight w:val="none"/>
              </w:rPr>
              <w:t>休闲农业</w:t>
            </w:r>
            <w:r>
              <w:rPr>
                <w:rFonts w:hint="default" w:ascii="Times New Roman" w:hAnsi="Times New Roman" w:eastAsia="仿宋_GB2312" w:cs="Times New Roman"/>
                <w:color w:val="auto"/>
                <w:sz w:val="24"/>
                <w:szCs w:val="24"/>
                <w:highlight w:val="none"/>
                <w:lang w:eastAsia="zh-CN"/>
              </w:rPr>
              <w:t>观光园</w:t>
            </w:r>
            <w:r>
              <w:rPr>
                <w:rFonts w:hint="default" w:ascii="Times New Roman" w:hAnsi="Times New Roman" w:eastAsia="仿宋_GB2312" w:cs="Times New Roman"/>
                <w:color w:val="auto"/>
                <w:sz w:val="24"/>
                <w:szCs w:val="24"/>
                <w:highlight w:val="none"/>
              </w:rPr>
              <w:t>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8、嵩县生态民宿建设项目；9、嵩县白云山</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木札岭森林康养基地；10、嵩县石头部落等古村落保护项目。</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rPr>
              <w:t>文旅融合项目</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1、伊尹文化康养建设项目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2、河南大学抗战办学纪念馆建设项目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3、万氏故居、万氏佳城修缮项目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4、南陆浑古城保护项目</w:t>
            </w:r>
            <w:r>
              <w:rPr>
                <w:rFonts w:hint="default" w:ascii="Times New Roman" w:hAnsi="Times New Roman" w:eastAsia="仿宋_GB2312" w:cs="Times New Roman"/>
                <w:color w:val="auto"/>
                <w:sz w:val="24"/>
                <w:szCs w:val="24"/>
                <w:highlight w:val="none"/>
                <w:lang w:eastAsia="zh-CN"/>
              </w:rPr>
              <w:t>；5、大禹文化公园建设项目；6、赛车运动康养项目；7文化旅游特色小镇项目；</w:t>
            </w:r>
            <w:r>
              <w:rPr>
                <w:rFonts w:hint="default" w:ascii="Times New Roman" w:hAnsi="Times New Roman" w:eastAsia="仿宋_GB2312" w:cs="Times New Roman"/>
                <w:color w:val="auto"/>
                <w:sz w:val="24"/>
                <w:szCs w:val="24"/>
                <w:highlight w:val="none"/>
                <w:lang w:val="en-US" w:eastAsia="zh-CN"/>
              </w:rPr>
              <w:t>8、红二十五军长征文化公园；9、陆浑水库纪念馆建设项目；10、前河大桥保护项目</w:t>
            </w:r>
            <w:r>
              <w:rPr>
                <w:rFonts w:hint="default" w:ascii="Times New Roman" w:hAnsi="Times New Roman" w:eastAsia="仿宋_GB2312" w:cs="Times New Roman"/>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三</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嵩县智慧旅游项目</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“畅游嵩县”5G数据平台、重点景区网络体系建设。</w:t>
            </w:r>
          </w:p>
        </w:tc>
      </w:tr>
    </w:tbl>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Times New Roman" w:hAnsi="Times New Roman" w:cs="Times New Roman"/>
          <w:color w:val="auto"/>
        </w:rPr>
      </w:pPr>
      <w:r>
        <w:rPr>
          <w:rFonts w:hint="default" w:ascii="Times New Roman" w:hAnsi="Times New Roman" w:eastAsia="方正黑体简体" w:cs="Times New Roman"/>
          <w:color w:val="auto"/>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1"/>
        <w:rPr>
          <w:rFonts w:hint="default" w:ascii="Times New Roman" w:hAnsi="Times New Roman" w:cs="Times New Roman"/>
          <w:color w:val="auto"/>
        </w:rPr>
      </w:pPr>
      <w:bookmarkStart w:id="32" w:name="_Toc30048"/>
      <w:r>
        <w:rPr>
          <w:rFonts w:hint="default" w:ascii="Times New Roman" w:hAnsi="Times New Roman" w:eastAsia="黑体" w:cs="Times New Roman"/>
          <w:color w:val="auto"/>
          <w:kern w:val="0"/>
          <w:sz w:val="31"/>
          <w:szCs w:val="31"/>
          <w:lang w:val="en-US" w:eastAsia="zh-CN" w:bidi="ar"/>
        </w:rPr>
        <w:t>第二章 推进制造业高质量发展</w:t>
      </w:r>
      <w:bookmarkEnd w:id="32"/>
      <w:r>
        <w:rPr>
          <w:rFonts w:hint="default" w:ascii="Times New Roman" w:hAnsi="Times New Roman" w:eastAsia="黑体" w:cs="Times New Roman"/>
          <w:color w:val="auto"/>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坚持把发展经济着力点放在实体经济上，坚定不移推动嵩县工业高质量发展、产业链现代化，实现从制造到智造的跃升，提高经济质量效益和核心竞争力。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cs="Times New Roman"/>
          <w:color w:val="auto"/>
          <w:sz w:val="32"/>
          <w:szCs w:val="32"/>
        </w:rPr>
      </w:pPr>
      <w:bookmarkStart w:id="33" w:name="_Toc20914"/>
      <w:r>
        <w:rPr>
          <w:rFonts w:hint="default" w:ascii="Times New Roman" w:hAnsi="Times New Roman" w:eastAsia="仿宋_GB2312" w:cs="Times New Roman"/>
          <w:b/>
          <w:color w:val="auto"/>
          <w:kern w:val="0"/>
          <w:sz w:val="32"/>
          <w:szCs w:val="32"/>
          <w:lang w:val="en-US" w:eastAsia="zh-CN" w:bidi="ar"/>
        </w:rPr>
        <w:t xml:space="preserve">第一节 </w:t>
      </w:r>
      <w:r>
        <w:rPr>
          <w:rFonts w:hint="default" w:ascii="Times New Roman" w:hAnsi="Times New Roman" w:eastAsia="仿宋" w:cs="Times New Roman"/>
          <w:b/>
          <w:color w:val="auto"/>
          <w:kern w:val="0"/>
          <w:sz w:val="32"/>
          <w:szCs w:val="32"/>
          <w:lang w:val="en-US" w:eastAsia="zh-CN" w:bidi="ar"/>
        </w:rPr>
        <w:t>优化工业布局</w:t>
      </w:r>
      <w:bookmarkEnd w:id="33"/>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按照工业绿色转型要求和产业集中布局原则，统筹推进全县各类采矿区的并、迁、转、关和项目引进。依托田湖、饭坡产业集聚区中医药、食品加工、新能源装备、新材料优势产业，按照“企业向园区集中，产业向园区聚集”的原则，优化园区工业布局，做大做强园区产业，引领带动全县工业绿色转型,提升产业集聚区省级水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田湖产业园区。</w:t>
      </w:r>
      <w:r>
        <w:rPr>
          <w:rFonts w:hint="default" w:ascii="Times New Roman" w:hAnsi="Times New Roman" w:eastAsia="仿宋_GB2312" w:cs="Times New Roman"/>
          <w:color w:val="auto"/>
          <w:kern w:val="0"/>
          <w:sz w:val="32"/>
          <w:szCs w:val="32"/>
          <w:lang w:val="en-US" w:eastAsia="zh-CN" w:bidi="ar"/>
        </w:rPr>
        <w:t>按照主导产业与配套产业互为依托，联动发展思路，构建“五园”发展格局。即在田湖产业园区布局生物医药产业园、装备制造产业园、物流园、创新创业园、中小微企业园，形成</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园中园</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发展模式。其中物流产业园为主导产业提供运输、仓储、配送、信息业务，形成完整的供应链，创新创业园和中小微企业园培育成为孵化科技型中小企业的摇篮。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饭坡产业园区。</w:t>
      </w:r>
      <w:r>
        <w:rPr>
          <w:rFonts w:hint="default" w:ascii="Times New Roman" w:hAnsi="Times New Roman" w:eastAsia="仿宋_GB2312" w:cs="Times New Roman"/>
          <w:color w:val="auto"/>
          <w:kern w:val="0"/>
          <w:sz w:val="32"/>
          <w:szCs w:val="32"/>
          <w:lang w:val="en-US" w:eastAsia="zh-CN" w:bidi="ar"/>
        </w:rPr>
        <w:t xml:space="preserve">主要布局金、钼、氟等新材料产业。依托嵩原冶炼、氟钾科技、恒氟精化材料、洛阳氟兴化工科技等龙头企业，致力打造产业竞争力强、要素利用率高、创新能力提升快、生态环境建设美的产业集聚区。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整合优化金钼资源。</w:t>
      </w:r>
      <w:r>
        <w:rPr>
          <w:rFonts w:hint="default" w:ascii="Times New Roman" w:hAnsi="Times New Roman" w:eastAsia="仿宋_GB2312" w:cs="Times New Roman"/>
          <w:color w:val="auto"/>
          <w:kern w:val="0"/>
          <w:sz w:val="32"/>
          <w:szCs w:val="32"/>
          <w:lang w:val="en-US" w:eastAsia="zh-CN" w:bidi="ar"/>
        </w:rPr>
        <w:t xml:space="preserve">坚持把优质资源向优势企业集中，支持中金公司、山东黄金公司加大探矿增储力度，杜绝化整为零、大矿小开、破坏环境、浪费资源等现象。支持中金公司、丰源钼业等龙头企业对全县停产半停产企业进行合作或兼并重组。优化槐树坪金矿采选、伊洛源金矿采选等黄金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cs="Times New Roman"/>
          <w:color w:val="auto"/>
          <w:sz w:val="32"/>
          <w:szCs w:val="32"/>
        </w:rPr>
      </w:pPr>
      <w:bookmarkStart w:id="34" w:name="_Toc25566"/>
      <w:r>
        <w:rPr>
          <w:rFonts w:hint="default" w:ascii="Times New Roman" w:hAnsi="Times New Roman" w:eastAsia="仿宋_GB2312" w:cs="Times New Roman"/>
          <w:b/>
          <w:bCs w:val="0"/>
          <w:color w:val="auto"/>
          <w:kern w:val="0"/>
          <w:sz w:val="32"/>
          <w:szCs w:val="32"/>
          <w:lang w:val="en-US" w:eastAsia="zh-CN" w:bidi="ar"/>
        </w:rPr>
        <w:t>第二节 推进产业集聚区“二次创业”</w:t>
      </w:r>
      <w:bookmarkEnd w:id="34"/>
      <w:r>
        <w:rPr>
          <w:rFonts w:hint="default" w:ascii="Times New Roman" w:hAnsi="Times New Roman" w:eastAsia="宋体"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持续推进产业集聚区循环化改造，推行产业集聚区“管委会</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公司”改革和“一区多园”“园中园”发展模式，开展产业集聚区“总产值、规上企业、税收三个倍增”行动，提升产城融合水平。开展产业集聚区“百园增效”行动。盘活存量土地，统筹运用财政资金、土地储备债券资金实施土地储备，加快征地拆迁、补偿安置、前期开发和基础设施配套建设，创造条件加快土地供应。创新模式盘活低效工业用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建立工业用地数据库，实施动态监管，通过推行复合立体开发、成片综合开发、更新升级开发等模式，分类推进低效工业用地盘活利用，鼓励、引导市场主体参与。优化供应方式，增强保障能力。实行工业用地弹性出让。鼓励年期出让、先租后让、租让结合、长期租赁方式使用工业用地。推行工业用地“标准地”出让。建立工业项目用地全生命周期管理机制。加强土地在使用期限内的全过程动态监管，通过完善工业用地产业准入、亩产效益评价、土地使用权退出等规则，围绕事前管标准、事中管达标、事后管信用，按照“谁提出、谁负责、谁监管”的原则，将项目建设投入、产出、节能、环保等要素纳入日常管理范围。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35" w:name="_Toc25762"/>
      <w:r>
        <w:rPr>
          <w:rFonts w:hint="default" w:ascii="Times New Roman" w:hAnsi="Times New Roman" w:eastAsia="仿宋_GB2312" w:cs="Times New Roman"/>
          <w:b/>
          <w:color w:val="auto"/>
          <w:kern w:val="0"/>
          <w:sz w:val="32"/>
          <w:szCs w:val="32"/>
          <w:lang w:val="en-US" w:eastAsia="zh-CN" w:bidi="ar"/>
        </w:rPr>
        <w:t>第三节 全力培育新技术新产业新业态新模式</w:t>
      </w:r>
      <w:bookmarkEnd w:id="35"/>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以推广应用新一代信息技术为基础，大力培育新技术、新产业、新业态、新模式，带动全县经济转型发展。培育新技术。着力引进和研发替代性强、应用性好，便于推广和能够形成市场力量的新技术，重点开发新能源风电技术、金钼氟新材料加工技术，以及生物制药技术。支持上海泰盛、氟钾科技、新春都等龙头企业加快科技研发，推动经济高质量发展。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培育新产业。以新技术开发应用为基础，重点发展风电、抽水蓄能电站和风电机械产品，培育壮大新能源产业；延伸金钼氟产业链，培育壮大新材料产业；开发中药饮片、中成药、保健品，打造生物医药产业集群。支持中金、港能、顺势做大做强，引领新产业快速发展。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培育新业态。重点培育田园综合体、农业公园、创意农园，开发帐篷酒店、山地滑雪、溪谷漂流等，发展旅游新业态；研发绿色保健品、养生药膳、中医体疗，发展中医药康养新业态，培育新的经济增长点。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培育新模式。探索嵩县生态农产品网络化、个性化定制的生产—销售模式，“旅游+直播”模式，以及工业品异地协同制造模式，畅通销售渠道，助推产业转型发展。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36" w:name="_Toc30324"/>
      <w:r>
        <w:rPr>
          <w:rFonts w:hint="default" w:ascii="Times New Roman" w:hAnsi="Times New Roman" w:eastAsia="仿宋_GB2312" w:cs="Times New Roman"/>
          <w:b/>
          <w:color w:val="auto"/>
          <w:kern w:val="0"/>
          <w:sz w:val="32"/>
          <w:szCs w:val="32"/>
          <w:lang w:val="en-US" w:eastAsia="zh-CN" w:bidi="ar"/>
        </w:rPr>
        <w:t>第四节 推进传统产业绿色化智能化改造</w:t>
      </w:r>
      <w:bookmarkEnd w:id="36"/>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金钼开采冶炼业。</w:t>
      </w:r>
      <w:r>
        <w:rPr>
          <w:rFonts w:hint="default" w:ascii="Times New Roman" w:hAnsi="Times New Roman" w:eastAsia="仿宋_GB2312" w:cs="Times New Roman"/>
          <w:color w:val="auto"/>
          <w:kern w:val="0"/>
          <w:sz w:val="32"/>
          <w:szCs w:val="32"/>
          <w:lang w:val="en-US" w:eastAsia="zh-CN" w:bidi="ar"/>
        </w:rPr>
        <w:t xml:space="preserve">按照金钼产业链的补链、延链、强链内在要求，强化金钼企业集群效应，支持开拓者钼业放大高铼钼精矿市场价值，带动相关行业发展。推动丰源钼业公司西段开发项目和黄水庵万吨钼采选项目，延伸金钼产业链条，实现集群化发展。鼓励和引导中金公司、开拓者钼业等一批龙头企业挖潜改造，提高技术和管理水平。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绿色建材产业。</w:t>
      </w:r>
      <w:r>
        <w:rPr>
          <w:rFonts w:hint="default" w:ascii="Times New Roman" w:hAnsi="Times New Roman" w:eastAsia="仿宋_GB2312" w:cs="Times New Roman"/>
          <w:color w:val="auto"/>
          <w:kern w:val="0"/>
          <w:sz w:val="32"/>
          <w:szCs w:val="32"/>
          <w:lang w:val="en-US" w:eastAsia="zh-CN" w:bidi="ar"/>
        </w:rPr>
        <w:t xml:space="preserve">积极推行绿色、低碳、环保的新型建筑材料，支持绿色建材在装配式建筑中应用，大力推广高品质水泥、高性能混凝土、新型墙体保温材料、高性能节能门窗等新型建筑材料。鼓励大型预拌混凝土、预拌砂浆生产企业、传统建材企业向预制构件、新型绿色材料生产企业转型。支持山金、丰源等矿山企业利用尾矿、产业固体废弃物等工业废弃物生产建材产品。加强宣传推广，鼓励保障性住房及政府和国有企业投资项目率先使用绿色建材。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37" w:name="_Toc5840"/>
      <w:r>
        <w:rPr>
          <w:rFonts w:hint="default" w:ascii="Times New Roman" w:hAnsi="Times New Roman" w:eastAsia="仿宋_GB2312" w:cs="Times New Roman"/>
          <w:b/>
          <w:color w:val="auto"/>
          <w:kern w:val="0"/>
          <w:sz w:val="32"/>
          <w:szCs w:val="32"/>
          <w:lang w:val="en-US" w:eastAsia="zh-CN" w:bidi="ar"/>
        </w:rPr>
        <w:t>第五节 推进产业链现代化</w:t>
      </w:r>
      <w:bookmarkEnd w:id="37"/>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围绕新材料、生物医药、装备制造等优势产业，强力锻链补链，构建具有竞争力的医药产业链，打造百亿级产业集群。聚焦提升中金嵩原冶炼、洛阳氟钾科技、民生药业、顺势药业、平原智能装备、洛阳锐能新能源有限公司等龙头企业竞争力、高端产品市场占有率和协作配套水平，加快形成产业链掌控能力，构建若干具有国际竞争力的产业链，打造百亿级产业集群。聚焦技术驱动和应用牵引，重点培育具有国内外影响力的领军型企业，加快天疆氟精细化工等一批科技含量高、市场前景好、带动能力强的</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四力型</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企业延链补链强链，打造新材料产业园区；依托民生、顺势等药企，发展壮大中医药产业，积极与国内知名药企洽谈合作，促使更多项目落地，推动现代生物医药产业园建设，培育嵩县工业经济新增长点。加强产业协同和技术合作攻关，打造若干优势互补、利益共享、特色鲜明的企业集群。加快</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小升规</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步伐，形成若干创新力强、特色突出的产业链。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38" w:name="_Toc15795"/>
      <w:r>
        <w:rPr>
          <w:rFonts w:hint="default" w:ascii="Times New Roman" w:hAnsi="Times New Roman" w:eastAsia="仿宋_GB2312" w:cs="Times New Roman"/>
          <w:b/>
          <w:color w:val="auto"/>
          <w:kern w:val="0"/>
          <w:sz w:val="32"/>
          <w:szCs w:val="32"/>
          <w:lang w:val="en-US" w:eastAsia="zh-CN" w:bidi="ar"/>
        </w:rPr>
        <w:t>第六节 实施制造业基础再造工程</w:t>
      </w:r>
      <w:bookmarkEnd w:id="38"/>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深入推进生物医药、新材料、新能源产业升级改造，加快数字化、网络化、智能化技术应用，培育智能工厂、智能车间深入推进绿色制造，开展绿色工厂、绿色园区和绿色供应链管理企业创建，强化污染企业深度治理，积极发展绿色产业和高端再制造。</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39" w:name="_Toc21721"/>
      <w:r>
        <w:rPr>
          <w:rFonts w:hint="default" w:ascii="Times New Roman" w:hAnsi="Times New Roman" w:eastAsia="仿宋_GB2312" w:cs="Times New Roman"/>
          <w:b/>
          <w:color w:val="auto"/>
          <w:kern w:val="0"/>
          <w:sz w:val="32"/>
          <w:szCs w:val="32"/>
          <w:lang w:val="en-US" w:eastAsia="zh-CN" w:bidi="ar"/>
        </w:rPr>
        <w:t>第七节 加快发展生产性服务业</w:t>
      </w:r>
      <w:bookmarkEnd w:id="39"/>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围绕制造业布局生产性服务业，推动先进制造业和现代服务业耦合共生。支持大型制造企业向产业链两端延伸，鼓励田湖产业园区生物医药、装备制造企业以提供智能化服务方案方式，推广服务型制造新模式。大力发展科技服务、检测检验、工业设计、信息服务、装备租赁、物流仓储等与制造业紧密相关的生产性服务业，依靠市场机制和现代科技创新，推动生产性服务业向专业化和价值链高端延伸。围绕制造业延链补链积极与国内知名信息技术企业沟通联系，推动信息存储、软件开发、互联网平台及移动</w:t>
      </w:r>
      <w:r>
        <w:rPr>
          <w:rFonts w:hint="default" w:ascii="Times New Roman" w:hAnsi="Times New Roman" w:eastAsia="宋体" w:cs="Times New Roman"/>
          <w:color w:val="auto"/>
          <w:kern w:val="0"/>
          <w:sz w:val="32"/>
          <w:szCs w:val="32"/>
          <w:lang w:val="en-US" w:eastAsia="zh-CN" w:bidi="ar"/>
        </w:rPr>
        <w:t>app</w:t>
      </w:r>
      <w:r>
        <w:rPr>
          <w:rFonts w:hint="default" w:ascii="Times New Roman" w:hAnsi="Times New Roman" w:eastAsia="仿宋_GB2312" w:cs="Times New Roman"/>
          <w:color w:val="auto"/>
          <w:kern w:val="0"/>
          <w:sz w:val="32"/>
          <w:szCs w:val="32"/>
          <w:lang w:val="en-US" w:eastAsia="zh-CN" w:bidi="ar"/>
        </w:rPr>
        <w:t>搭建及应用等服务业发展。谋划在车村镇布局具有分拨集散功能的中小型物流产业园，推动“</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物联网</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人工智能”在物流行业的融合应用，打造智慧物流服务平台。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 w:cs="Times New Roman"/>
          <w:b/>
          <w:color w:val="auto"/>
          <w:kern w:val="0"/>
          <w:sz w:val="32"/>
          <w:szCs w:val="32"/>
          <w:lang w:val="en-US" w:eastAsia="zh-CN" w:bidi="ar"/>
        </w:rPr>
        <w:t>积极发展数字经济。</w:t>
      </w:r>
      <w:r>
        <w:rPr>
          <w:rFonts w:hint="default" w:ascii="Times New Roman" w:hAnsi="Times New Roman" w:eastAsia="仿宋_GB2312" w:cs="Times New Roman"/>
          <w:color w:val="auto"/>
          <w:kern w:val="0"/>
          <w:sz w:val="32"/>
          <w:szCs w:val="32"/>
          <w:lang w:val="en-US" w:eastAsia="zh-CN" w:bidi="ar"/>
        </w:rPr>
        <w:t>积极与洛阳科技产业园、大数据产业园等高新园区对接，引导</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人工智能、大数据、云计算等领域龙头企业围绕嵩县制造业转型升级需求，提供数字化支撑服务。围绕主导产业引进数字经济龙头企业，依托龙头企业引进关联企业和生态企业，着力打造数字经济产业生态圈，培育经济发展新动能，抢占智能制造制高点。培育数字经济新业态新模式，推进数字化新业态、新场景的应用，积极培育平台经济、共享经济、在线经济、智能经济等经济新业态，引导对民生服务信息化平台和智能化解决方案的研发创新与应用研究，在网络教育、互联网医疗、线上办公、政务服务等领域组织实施一批数字化应用示范项目。</w:t>
      </w:r>
    </w:p>
    <w:p>
      <w:pPr>
        <w:pStyle w:val="2"/>
        <w:rPr>
          <w:rFonts w:hint="default" w:ascii="Times New Roman" w:hAnsi="Times New Roman" w:cs="Times New Roman"/>
          <w:color w:val="auto"/>
          <w:lang w:val="en-US" w:eastAsia="zh-CN"/>
        </w:rPr>
      </w:pPr>
    </w:p>
    <w:tbl>
      <w:tblPr>
        <w:tblStyle w:val="6"/>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600" w:type="dxa"/>
            <w:noWrap w:val="0"/>
            <w:vAlign w:val="top"/>
          </w:tcPr>
          <w:p>
            <w:pPr>
              <w:pStyle w:val="12"/>
              <w:pageBreakBefore w:val="0"/>
              <w:kinsoku/>
              <w:wordWrap/>
              <w:bidi w:val="0"/>
              <w:spacing w:beforeAutospacing="0" w:afterAutospacing="0" w:line="580" w:lineRule="exact"/>
              <w:ind w:left="0"/>
              <w:jc w:val="center"/>
              <w:rPr>
                <w:rFonts w:hint="default" w:ascii="Times New Roman" w:hAnsi="Times New Roman" w:eastAsia="仿宋" w:cs="Times New Roman"/>
                <w:bCs/>
                <w:color w:val="auto"/>
                <w:sz w:val="32"/>
                <w:szCs w:val="32"/>
                <w:highlight w:val="none"/>
                <w:vertAlign w:val="baseline"/>
                <w:lang w:val="en-US" w:eastAsia="zh-CN"/>
              </w:rPr>
            </w:pPr>
            <w:r>
              <w:rPr>
                <w:rFonts w:hint="default" w:ascii="Times New Roman" w:hAnsi="Times New Roman" w:eastAsia="方正黑体简体" w:cs="Times New Roman"/>
                <w:b w:val="0"/>
                <w:bCs w:val="0"/>
                <w:color w:val="auto"/>
                <w:kern w:val="2"/>
                <w:sz w:val="30"/>
                <w:szCs w:val="30"/>
                <w:highlight w:val="none"/>
                <w:lang w:val="en-US" w:eastAsia="zh-CN" w:bidi="ar-SA"/>
              </w:rPr>
              <w:t>专栏5：“十四五”重大工业项目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9" w:hRule="atLeast"/>
          <w:jc w:val="center"/>
        </w:trPr>
        <w:tc>
          <w:tcPr>
            <w:tcW w:w="8600" w:type="dxa"/>
            <w:noWrap w:val="0"/>
            <w:vAlign w:val="top"/>
          </w:tcPr>
          <w:p>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能源类项目：</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嵩县抽水蓄能电站；2、嵩县风电场项目；3、洛阳锐能新能源有限公司新能源设备加工项目。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b/>
                <w:bCs/>
                <w:color w:val="auto"/>
                <w:kern w:val="2"/>
                <w:sz w:val="24"/>
                <w:szCs w:val="24"/>
                <w:highlight w:val="none"/>
                <w:u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二</w:t>
            </w:r>
            <w:r>
              <w:rPr>
                <w:rFonts w:hint="default" w:ascii="Times New Roman" w:hAnsi="Times New Roman" w:eastAsia="仿宋_GB2312" w:cs="Times New Roman"/>
                <w:b/>
                <w:bCs/>
                <w:color w:val="auto"/>
                <w:kern w:val="2"/>
                <w:sz w:val="24"/>
                <w:szCs w:val="24"/>
                <w:highlight w:val="none"/>
                <w:u w:val="none"/>
                <w:lang w:val="en-US" w:eastAsia="zh-CN" w:bidi="ar-SA"/>
              </w:rPr>
              <w:t>、医药类项目：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洛阳市嵩县中医药产业园；2、洛阳新春都生物制药有限公司；3、洛阳顺势药业有限公司中药材研发及加工项目；4、杜仲口服液及铬酵母胶囊保健食品项目；5、以岭药业中药材精深加工项目；6、济川药业中药材深加工项目；7、嵩县豫博药业皂刺技术中心建设项目；8、民生药业集团珍医堂有限公司中医药提取、制剂项目；9、嵩县道地药材种植与深加工技术推广及应用。</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b/>
                <w:bCs/>
                <w:color w:val="auto"/>
                <w:kern w:val="2"/>
                <w:sz w:val="24"/>
                <w:szCs w:val="24"/>
                <w:highlight w:val="none"/>
                <w:u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三、</w:t>
            </w:r>
            <w:r>
              <w:rPr>
                <w:rFonts w:hint="default" w:ascii="Times New Roman" w:hAnsi="Times New Roman" w:eastAsia="仿宋_GB2312" w:cs="Times New Roman"/>
                <w:b/>
                <w:bCs/>
                <w:color w:val="auto"/>
                <w:kern w:val="2"/>
                <w:sz w:val="24"/>
                <w:szCs w:val="24"/>
                <w:highlight w:val="none"/>
                <w:u w:val="none"/>
                <w:lang w:val="en-US" w:eastAsia="zh-CN" w:bidi="ar-SA"/>
              </w:rPr>
              <w:t>食品加工类项目：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u w:val="none"/>
                <w:lang w:val="en-US" w:eastAsia="zh-CN" w:bidi="ar-SA"/>
              </w:rPr>
              <w:t>洛阳馨飞凡食品有限公司豆制品加工项目；</w:t>
            </w:r>
            <w:r>
              <w:rPr>
                <w:rFonts w:hint="default" w:ascii="Times New Roman" w:hAnsi="Times New Roman" w:eastAsia="仿宋_GB2312" w:cs="Times New Roman"/>
                <w:color w:val="auto"/>
                <w:kern w:val="2"/>
                <w:sz w:val="24"/>
                <w:szCs w:val="24"/>
                <w:highlight w:val="none"/>
                <w:lang w:val="en-US" w:eastAsia="zh-CN" w:bidi="ar-SA"/>
              </w:rPr>
              <w:t>2、洛阳天佑春都食品有限公司项目；3、嵩县保健饮料产业基地建设项目。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四、装备制造项目：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1、先帆（洛阳）智能储物科技有限责任公司年产智能储物设备10万台（套）项目；2、河南创元环保科技有限公司年产600套成套环保设备、防腐容器项目；3、</w:t>
            </w:r>
            <w:r>
              <w:rPr>
                <w:rFonts w:hint="default" w:ascii="Times New Roman" w:hAnsi="Times New Roman" w:eastAsia="仿宋_GB2312" w:cs="Times New Roman"/>
                <w:color w:val="auto"/>
                <w:kern w:val="2"/>
                <w:sz w:val="24"/>
                <w:szCs w:val="24"/>
                <w:highlight w:val="none"/>
                <w:u w:val="none"/>
                <w:lang w:val="en-US" w:eastAsia="zh-CN" w:bidi="ar-SA"/>
              </w:rPr>
              <w:t>洛阳拓图工贸有限公司年生产1500台导弹发射架、高端热喷涂材料表面改性项目；4、洛阳万象轴承滚动体科技有限公司轴承滚动体项目；5、河南英唐电器股份有限公司电气设备项目。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五、矿业加工项目：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color w:val="auto"/>
                <w:kern w:val="2"/>
                <w:sz w:val="24"/>
                <w:szCs w:val="24"/>
                <w:highlight w:val="none"/>
                <w:u w:val="singl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1、实施“三大改造”项目；2、</w:t>
            </w:r>
            <w:r>
              <w:rPr>
                <w:rFonts w:hint="default" w:ascii="Times New Roman" w:hAnsi="Times New Roman" w:eastAsia="仿宋_GB2312" w:cs="Times New Roman"/>
                <w:color w:val="auto"/>
                <w:kern w:val="2"/>
                <w:sz w:val="24"/>
                <w:szCs w:val="24"/>
                <w:highlight w:val="none"/>
                <w:u w:val="none"/>
                <w:lang w:val="en-US" w:eastAsia="zh-CN" w:bidi="ar-SA"/>
              </w:rPr>
              <w:t>嵩县丰源钼业有限公司西段开发项目</w:t>
            </w:r>
            <w:r>
              <w:rPr>
                <w:rFonts w:hint="default" w:ascii="Times New Roman" w:hAnsi="Times New Roman" w:eastAsia="仿宋_GB2312" w:cs="Times New Roman"/>
                <w:color w:val="auto"/>
                <w:kern w:val="2"/>
                <w:sz w:val="24"/>
                <w:szCs w:val="24"/>
                <w:highlight w:val="none"/>
                <w:lang w:val="en-US" w:eastAsia="zh-CN" w:bidi="ar-SA"/>
              </w:rPr>
              <w:t>；3、河南五鑫矿业开发有限公司嵩县槐树坪金矿1000吨/日采选项目；4、嵩县金牛有限责任公司尾矿库建设项目；5、嵩县大石门沟金矿有限公司大石门沟金矿项目；6、洛阳市洛银商贸有限公司孙园金矿项目；7、洛矿安沟多金属年地采60万吨钼多金属项目；</w:t>
            </w:r>
            <w:r>
              <w:rPr>
                <w:rFonts w:hint="default" w:ascii="Times New Roman" w:hAnsi="Times New Roman" w:eastAsia="仿宋_GB2312" w:cs="Times New Roman"/>
                <w:color w:val="auto"/>
                <w:kern w:val="2"/>
                <w:sz w:val="24"/>
                <w:szCs w:val="24"/>
                <w:highlight w:val="none"/>
                <w:u w:val="none"/>
                <w:lang w:val="en-US" w:eastAsia="zh-CN" w:bidi="ar-SA"/>
              </w:rPr>
              <w:t>8、洛阳威岩工程机械有限公司范庄岭选厂扩建项目；9、</w:t>
            </w:r>
            <w:r>
              <w:rPr>
                <w:rFonts w:hint="default" w:ascii="Times New Roman" w:hAnsi="Times New Roman" w:eastAsia="仿宋_GB2312" w:cs="Times New Roman"/>
                <w:color w:val="auto"/>
                <w:kern w:val="2"/>
                <w:sz w:val="24"/>
                <w:szCs w:val="24"/>
                <w:highlight w:val="none"/>
                <w:lang w:val="en-US" w:eastAsia="zh-CN" w:bidi="ar-SA"/>
              </w:rPr>
              <w:t>推动钾长石综合开发项目。</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六、绿色建材项目：</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40" w:lineRule="exact"/>
              <w:ind w:left="0"/>
              <w:textAlignment w:val="auto"/>
              <w:rPr>
                <w:rFonts w:hint="default" w:ascii="Times New Roman" w:hAnsi="Times New Roman" w:eastAsia="仿宋" w:cs="Times New Roman"/>
                <w:bCs/>
                <w:color w:val="auto"/>
                <w:sz w:val="32"/>
                <w:szCs w:val="32"/>
                <w:highlight w:val="none"/>
                <w:vertAlign w:val="baseline"/>
                <w:lang w:val="en-US"/>
              </w:rPr>
            </w:pPr>
            <w:r>
              <w:rPr>
                <w:rFonts w:hint="default" w:ascii="Times New Roman" w:hAnsi="Times New Roman" w:eastAsia="仿宋_GB2312" w:cs="Times New Roman"/>
                <w:color w:val="auto"/>
                <w:kern w:val="2"/>
                <w:sz w:val="24"/>
                <w:szCs w:val="24"/>
                <w:highlight w:val="none"/>
                <w:lang w:val="en-US" w:eastAsia="zh-CN" w:bidi="ar-SA"/>
              </w:rPr>
              <w:t>1、沛江烜环保材料加工项目；2、</w:t>
            </w:r>
            <w:r>
              <w:rPr>
                <w:rFonts w:hint="default" w:ascii="Times New Roman" w:hAnsi="Times New Roman" w:eastAsia="仿宋_GB2312" w:cs="Times New Roman"/>
                <w:color w:val="auto"/>
                <w:kern w:val="2"/>
                <w:sz w:val="24"/>
                <w:szCs w:val="24"/>
                <w:highlight w:val="none"/>
                <w:u w:val="none"/>
                <w:lang w:val="en-US" w:eastAsia="zh-CN" w:bidi="ar-SA"/>
              </w:rPr>
              <w:t>河南润源环保材料有限公司环保材料研发、生产项目；</w:t>
            </w:r>
            <w:r>
              <w:rPr>
                <w:rFonts w:hint="default" w:ascii="Times New Roman" w:hAnsi="Times New Roman" w:eastAsia="仿宋_GB2312" w:cs="Times New Roman"/>
                <w:color w:val="auto"/>
                <w:kern w:val="2"/>
                <w:sz w:val="24"/>
                <w:szCs w:val="24"/>
                <w:highlight w:val="none"/>
                <w:lang w:val="en-US" w:eastAsia="zh-CN" w:bidi="ar-SA"/>
              </w:rPr>
              <w:t>3、洛阳金垣实业有限公司建材加工项目；4、荣弘建材有限公司建材加工项目；5、嵩县河润建材有限公司建材加工项目；6、嵩县绿航再生资源回收利用有限责任公司废石加工项目；7、洛阳流江砂石有限公司废石综合利用项目；8、嵩县宏瑞页岩砖厂新型建材加工项目。</w:t>
            </w:r>
          </w:p>
        </w:tc>
      </w:tr>
    </w:tbl>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auto"/>
        <w:outlineLvl w:val="1"/>
        <w:rPr>
          <w:rFonts w:hint="default" w:ascii="Times New Roman" w:hAnsi="Times New Roman" w:cs="Times New Roman"/>
          <w:color w:val="auto"/>
        </w:rPr>
      </w:pPr>
      <w:bookmarkStart w:id="40" w:name="_Toc16613"/>
      <w:r>
        <w:rPr>
          <w:rFonts w:hint="default" w:ascii="Times New Roman" w:hAnsi="Times New Roman" w:eastAsia="黑体" w:cs="Times New Roman"/>
          <w:color w:val="auto"/>
          <w:kern w:val="0"/>
          <w:sz w:val="31"/>
          <w:szCs w:val="31"/>
          <w:lang w:val="en-US" w:eastAsia="zh-CN" w:bidi="ar"/>
        </w:rPr>
        <w:t>第三章 发展现代服务业</w:t>
      </w:r>
      <w:bookmarkEnd w:id="40"/>
      <w:r>
        <w:rPr>
          <w:rFonts w:hint="default" w:ascii="Times New Roman" w:hAnsi="Times New Roman" w:eastAsia="黑体" w:cs="Times New Roman"/>
          <w:color w:val="auto"/>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1"/>
          <w:szCs w:val="31"/>
          <w:lang w:val="en-US" w:eastAsia="zh-CN" w:bidi="ar"/>
        </w:rPr>
        <w:t xml:space="preserve">优化商务中心区布局，提升中心城区商圈功能，推动各类市场主体参与服务供给；加快电商物流技术创新、业态更新，推进融合发展，推动生活性服务业向高品质和多样化升级。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41" w:name="_Toc10615"/>
      <w:r>
        <w:rPr>
          <w:rFonts w:hint="default" w:ascii="Times New Roman" w:hAnsi="Times New Roman" w:eastAsia="仿宋" w:cs="Times New Roman"/>
          <w:b/>
          <w:color w:val="auto"/>
          <w:kern w:val="0"/>
          <w:sz w:val="32"/>
          <w:szCs w:val="32"/>
          <w:lang w:val="en-US" w:eastAsia="zh-CN" w:bidi="ar"/>
        </w:rPr>
        <w:t>第一节 做优做强现代服务业载体平台</w:t>
      </w:r>
      <w:bookmarkEnd w:id="41"/>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优化商务中心区发展格局。</w:t>
      </w:r>
      <w:r>
        <w:rPr>
          <w:rFonts w:hint="default" w:ascii="Times New Roman" w:hAnsi="Times New Roman" w:eastAsia="仿宋_GB2312" w:cs="Times New Roman"/>
          <w:color w:val="auto"/>
          <w:kern w:val="0"/>
          <w:sz w:val="32"/>
          <w:szCs w:val="32"/>
          <w:lang w:val="en-US" w:eastAsia="zh-CN" w:bidi="ar"/>
        </w:rPr>
        <w:t>以供给侧结构性改革为主线，注重需求侧管理，突出商务中心区的全县现代服务业主阵地、排头兵地位，进一步优化布局，扩容提质，引领带动全县服务业集约化、高端化发展。布局建设滨河休闲绿带、商务服务区、商贸及配套服务区、旅游综合服务区以及精品商业街、特色餐饮街、特色旅游商品街、滨河休闲娱乐街等，把商务中心区打造成区域特色鲜明、服务功能突出的滨水生态型现代服务业集聚区。加快商业模式创新和业态创新，大力发展</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首店经济</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首发经济</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，抢占现代服务业品牌业态“顶流”；推进商务中心区扩容提质，拓展未来发展新空间。到“十四五”末，打造成为领军企业集中、业态模式新颖、具有区域示范性影响的现代服务业集聚区。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提升中心城区商圈发展品质。</w:t>
      </w:r>
      <w:r>
        <w:rPr>
          <w:rFonts w:hint="default" w:ascii="Times New Roman" w:hAnsi="Times New Roman" w:eastAsia="仿宋_GB2312" w:cs="Times New Roman"/>
          <w:color w:val="auto"/>
          <w:kern w:val="0"/>
          <w:sz w:val="32"/>
          <w:szCs w:val="32"/>
          <w:lang w:val="en-US" w:eastAsia="zh-CN" w:bidi="ar"/>
        </w:rPr>
        <w:t xml:space="preserve">锚定打造现代服务业高地发展方向，以中心城区农副产品交易中心等城市商业综合体项目为龙头引领，以周边各类品牌店、精品店、专业市场为重要支撑，打造若干具有区域影响力的现代服务业商圈。加快特色商业街建设，丰富业态品类，注重品质提升，进一步出形象、出规模、见成效，建成商文旅融合发展精品街区，逐渐培育成服务嵩县、面向豫西的网红打卡地，为整体提升嵩县城市形象和服务水平赋能。进一步优化提升环陆浑湖沿岸商圈环境，打造集生态观光、亲水旅游、运动康养于一体的生态经济廊道，与其它商业功能区互动发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42" w:name="_Toc26132"/>
      <w:r>
        <w:rPr>
          <w:rFonts w:hint="default" w:ascii="Times New Roman" w:hAnsi="Times New Roman" w:eastAsia="仿宋" w:cs="Times New Roman"/>
          <w:b/>
          <w:color w:val="auto"/>
          <w:kern w:val="0"/>
          <w:sz w:val="32"/>
          <w:szCs w:val="32"/>
          <w:lang w:val="en-US" w:eastAsia="zh-CN" w:bidi="ar"/>
        </w:rPr>
        <w:t>第二节 加快优势服务业转型升级</w:t>
      </w:r>
      <w:bookmarkEnd w:id="42"/>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电子商务。</w:t>
      </w:r>
      <w:r>
        <w:rPr>
          <w:rFonts w:hint="default" w:ascii="Times New Roman" w:hAnsi="Times New Roman" w:eastAsia="仿宋_GB2312" w:cs="Times New Roman"/>
          <w:color w:val="auto"/>
          <w:kern w:val="0"/>
          <w:sz w:val="32"/>
          <w:szCs w:val="32"/>
          <w:lang w:val="en-US" w:eastAsia="zh-CN" w:bidi="ar"/>
        </w:rPr>
        <w:t>走集聚化、规模化、品牌化发展道路，依托嵩县丰富的特色农产品优势，加快推进电子商务产业园建设，打造豫西县域电子商务高质量发展引领区。建设电商培训基地、电商物流仓储基地、嵩县特色农产品品牌运营基地、产品展示展销基地、网红直播基地和数字乡村运营基地，打造成为全链电商产业综合体。引导全县网络直播达人、电商从业者积极参与，为嵩县农副产品进行全面代言，扩大嵩县特色农副产品线上线下知名度，进一步拓宽产品线上销售渠道。持续推进电商进农村惠民举措，打造电商惠农</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升级版</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，建成豫西县域农村电商示范县。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商贸物流。</w:t>
      </w:r>
      <w:r>
        <w:rPr>
          <w:rFonts w:hint="default" w:ascii="Times New Roman" w:hAnsi="Times New Roman" w:eastAsia="仿宋_GB2312" w:cs="Times New Roman"/>
          <w:color w:val="auto"/>
          <w:kern w:val="0"/>
          <w:sz w:val="32"/>
          <w:szCs w:val="32"/>
          <w:lang w:val="en-US" w:eastAsia="zh-CN" w:bidi="ar"/>
        </w:rPr>
        <w:t>以食品、医药、烟草、干散货物流为主体，以智能化、信息化技术为支撑，与电子商务深度融合，构建“通道</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枢纽</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网络”现代物流运行体系，全面推进县域物流业快速转型升级。加快推进嵩县电子商务物流产业项目，打造以绿色物流和智慧物流为支撑，集智能仓储、集采集供、分拨分销、供应链集成、电商物流、冷链物流、物流金融、物流社区等功能于一体的区域性现代物流集聚区。推进城乡配送体系建设，结合电子商务进社区、进农村活动，支持德亭镇、旧县镇建设食用菌冷链物流基地，田湖镇、车村镇建设中药材冷链物流市场。推进嵩县物流公共信息平台建设。谋划嵩县现代物流园区，支持大型商贸、物流、快递、电商企业建立配送联盟，构建城乡双向畅通的物流配送网络。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43" w:name="_Toc6130"/>
      <w:r>
        <w:rPr>
          <w:rFonts w:hint="default" w:ascii="Times New Roman" w:hAnsi="Times New Roman" w:eastAsia="仿宋" w:cs="Times New Roman"/>
          <w:b/>
          <w:color w:val="auto"/>
          <w:kern w:val="0"/>
          <w:sz w:val="32"/>
          <w:szCs w:val="32"/>
          <w:lang w:val="en-US" w:eastAsia="zh-CN" w:bidi="ar"/>
        </w:rPr>
        <w:t>第三节  培育发展新产业新业态</w:t>
      </w:r>
      <w:bookmarkEnd w:id="43"/>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发展生活性服务业。</w:t>
      </w:r>
      <w:r>
        <w:rPr>
          <w:rFonts w:hint="default" w:ascii="Times New Roman" w:hAnsi="Times New Roman" w:eastAsia="仿宋_GB2312" w:cs="Times New Roman"/>
          <w:color w:val="auto"/>
          <w:kern w:val="0"/>
          <w:sz w:val="32"/>
          <w:szCs w:val="32"/>
          <w:lang w:val="en-US" w:eastAsia="zh-CN" w:bidi="ar"/>
        </w:rPr>
        <w:t xml:space="preserve">围绕满足人民群众多层次多样化需求，大力发展生活性服务业，丰富服务供给，完善服务标准，提高服务质量，不断满足人民日益增长的美好生活需要。巩固提升“嵩县外派劳务工”“嵩县渔工”“嵩县家政服务”等品牌，提高市场竞争力，加快城镇化进程。鼓励发展健康体检、健康咨询、健康文化、健康旅游、体育健身等多样化健康服务，依托县医院区域医疗中心，打造集治疗、康复训练等多功能健康服务基地。鼓励养老服务与相关产业融合创新发展，加快形成多元化办医格局，推动基本生活照料、康复护理、精神慰藉、文化服务、紧急救援、临终关怀等领域养老服务的发展。发展形式多样的教育培训服务，引入行业组织等参与开展社区教育项目，支持洛阳市中医药学校、嵩县职业中专等坚持产教融合、校企合作、工学结合，带动行业整体服务水平提升。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培育新消费业态。</w:t>
      </w:r>
      <w:r>
        <w:rPr>
          <w:rFonts w:hint="default" w:ascii="Times New Roman" w:hAnsi="Times New Roman" w:eastAsia="仿宋_GB2312" w:cs="Times New Roman"/>
          <w:color w:val="auto"/>
          <w:kern w:val="0"/>
          <w:sz w:val="32"/>
          <w:szCs w:val="32"/>
          <w:lang w:val="en-US" w:eastAsia="zh-CN" w:bidi="ar"/>
        </w:rPr>
        <w:t>依托电子商务公共平台拓展开发</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互联网</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服务模式</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，推动线上和线下融合消费双向提速。支持线下经营实体更新理念，加快新科技、新设计改造提升，完善消费生态体系。依托电商企业推动传统零售、传统服务资源整合，构建“智能</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”消费生态体系。发展数字生活新服务，支持</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消费应用场景在网络购物、智能售卖等服务领域的应用，鼓励向场景化、体验式、互动性、综合型消费场所转型，加快建设智慧商超、智慧街区、智慧商圈和智慧体验馆，培育壮大远程医疗、大数据分析、网络购物、在线办公、在线教育等新经济和新业态。适应网络购物、移动支付、线上线下融合等新业态消费模式，积极发展在线经济、宅经济、夜经济，形成新的消费经济增长点。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培育新型消费模式。</w:t>
      </w:r>
      <w:r>
        <w:rPr>
          <w:rFonts w:hint="default" w:ascii="Times New Roman" w:hAnsi="Times New Roman" w:eastAsia="仿宋_GB2312" w:cs="Times New Roman"/>
          <w:color w:val="auto"/>
          <w:kern w:val="0"/>
          <w:sz w:val="32"/>
          <w:szCs w:val="32"/>
          <w:lang w:val="en-US" w:eastAsia="zh-CN" w:bidi="ar"/>
        </w:rPr>
        <w:t xml:space="preserve">促进汽车、家电等大宗消费，推动住房消费健康发展。发展服务消费，放宽服务消费领域市场准入，着力激发农村消费潜力。 </w:t>
      </w:r>
    </w:p>
    <w:tbl>
      <w:tblPr>
        <w:tblStyle w:val="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43" w:type="dxa"/>
            <w:noWrap w:val="0"/>
            <w:vAlign w:val="top"/>
          </w:tcPr>
          <w:p>
            <w:pPr>
              <w:pStyle w:val="2"/>
              <w:pageBreakBefore w:val="0"/>
              <w:kinsoku/>
              <w:wordWrap/>
              <w:bidi w:val="0"/>
              <w:spacing w:beforeAutospacing="0" w:afterAutospacing="0" w:line="580" w:lineRule="exact"/>
              <w:ind w:left="0"/>
              <w:jc w:val="center"/>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方正黑体简体" w:cs="Times New Roman"/>
                <w:b w:val="0"/>
                <w:bCs w:val="0"/>
                <w:color w:val="auto"/>
                <w:kern w:val="2"/>
                <w:sz w:val="30"/>
                <w:szCs w:val="30"/>
                <w:highlight w:val="none"/>
                <w:vertAlign w:val="baseline"/>
                <w:lang w:val="en-US" w:eastAsia="zh-CN" w:bidi="ar-SA"/>
              </w:rPr>
              <w:t>专栏6：“十四五”重大服务业项目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843" w:type="dxa"/>
            <w:noWrap w:val="0"/>
            <w:vAlign w:val="top"/>
          </w:tcPr>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420" w:lineRule="exact"/>
              <w:ind w:left="0"/>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1、嵩县现代物流园区；2、嵩县高都商业片区建设项目；3、嵩县华商城建设项目；4、嵩县农副产品交易中心；5、嵩县中药材交易市场建设项目；6、嵩县电子商务物流产业项目。</w:t>
            </w:r>
          </w:p>
        </w:tc>
      </w:tr>
    </w:tbl>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黑体" w:cs="Times New Roman"/>
          <w:b/>
          <w:color w:val="auto"/>
          <w:kern w:val="0"/>
          <w:sz w:val="36"/>
          <w:szCs w:val="36"/>
          <w:lang w:val="en-US" w:eastAsia="zh-CN" w:bidi="ar"/>
        </w:rPr>
      </w:pPr>
      <w:bookmarkStart w:id="44" w:name="_Toc11042"/>
      <w:r>
        <w:rPr>
          <w:rFonts w:hint="default" w:ascii="Times New Roman" w:hAnsi="Times New Roman" w:eastAsia="黑体" w:cs="Times New Roman"/>
          <w:b/>
          <w:color w:val="auto"/>
          <w:kern w:val="0"/>
          <w:sz w:val="36"/>
          <w:szCs w:val="36"/>
          <w:lang w:val="en-US" w:eastAsia="zh-CN" w:bidi="ar"/>
        </w:rPr>
        <w:t>第四篇 扩大内需投资消费，构建现代市场流通新体系</w:t>
      </w:r>
      <w:bookmarkEnd w:id="44"/>
      <w:r>
        <w:rPr>
          <w:rFonts w:hint="default" w:ascii="Times New Roman" w:hAnsi="Times New Roman" w:eastAsia="黑体" w:cs="Times New Roman"/>
          <w:b/>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发挥投资对优化供给结构的关键作用，坚持扩大内需这个战略基点，推进扩大内需与深化供给侧结构性改革有机结合，以创新驱动、高质量供给引领和创造新需求，让扩大内需更好满足人民美好生活需要，为高质量发展注入强劲动力。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第一章 畅通内外双循环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加快物流配送体系建设，有效衔接内外市场，促进消费扩容提质，加快自主品牌建设，构建内外连通的现代市场流通体系。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第一节 完善城乡流通网络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升级发展一批现代物流快递企业，加快物流仓储智能配送平台打造，健全县、乡、村三级物流配送体系建设，加快嵩县电子商务物流园建设进度，形成高效、智能、便民的城乡一体化流通网络，有效衔接城乡市场。推动特色城镇项目建设，打造一批独具人文特色的商业中心，吸引外来资本投资配套设施建设，扩大消费内循环。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第二节 有效衔接内外市场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科学调整县城区商业网点规划，引导商业网点建设与文旅、交通运输产业发展相同步。在县域内打造一批独具人文特色的商业中心，吸引外来资本投资配套设施建设，扩大消费内循环；持续改善营商环境，加大对外开放力度，多渠道吸引外来资本投资本地项目建设，做强投资外循环。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第三节 促进消费扩容提质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优化市场供给。</w:t>
      </w:r>
      <w:r>
        <w:rPr>
          <w:rFonts w:hint="default" w:ascii="Times New Roman" w:hAnsi="Times New Roman" w:eastAsia="仿宋_GB2312" w:cs="Times New Roman"/>
          <w:color w:val="auto"/>
          <w:kern w:val="0"/>
          <w:sz w:val="32"/>
          <w:szCs w:val="32"/>
          <w:lang w:val="en-US" w:eastAsia="zh-CN" w:bidi="ar"/>
        </w:rPr>
        <w:t>积极推进质量提升行动，引导企业加强全面质量管理，推进“一站式”服务试点，全面提升嵩县商品和服务竞争力。尽快完善服务业标准体系，推动养老、家政、托育、文化和旅游、体育、健康等领域服务标准制修订与试点示范。在消费品领域积极推行高端品质认证，全面实施内外销产品</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同线同标同质</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工程。开展质量分级试点，倡导优质优价，促进品牌消费、品质消费。规范检验检测行业资质许可，提升消费品领域的认证认可、检验检测技术服务能力，为企业树立质量提升的示范标杆。</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加强自主品牌建设。</w:t>
      </w:r>
      <w:r>
        <w:rPr>
          <w:rFonts w:hint="default" w:ascii="Times New Roman" w:hAnsi="Times New Roman" w:eastAsia="仿宋_GB2312" w:cs="Times New Roman"/>
          <w:color w:val="auto"/>
          <w:kern w:val="0"/>
          <w:sz w:val="32"/>
          <w:szCs w:val="32"/>
          <w:lang w:val="en-US" w:eastAsia="zh-CN" w:bidi="ar"/>
        </w:rPr>
        <w:t>深入实施增品种、提品质、创品牌的“三品”战略。保护和发展“嵩胡”“嵩县皂角刺”“嵩县银杏”“嵩县鸡头黄精”等特色农产品品牌、</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王记烧鸡</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老字号品牌，建立动态管理机制，认定和培育一批文化特色浓、品牌信誉高、有市场竞争力的特色品牌。支持林、药、牧、烟、菌等品牌培育壮大，巩固提升“五丈山羊肚菌”</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野虎岭灵芝”的影响力，建设全国重要的特色食品制造基地。通过举办嵩县特色农产品论坛，塑造嵩县农产品生态品质形象，提高自主品牌知名度和影响力，扩大自主品牌消费。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第四节 培育消费新增长点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建设城乡融合消费网络。</w:t>
      </w:r>
      <w:r>
        <w:rPr>
          <w:rFonts w:hint="default" w:ascii="Times New Roman" w:hAnsi="Times New Roman" w:eastAsia="仿宋_GB2312" w:cs="Times New Roman"/>
          <w:color w:val="auto"/>
          <w:kern w:val="0"/>
          <w:sz w:val="32"/>
          <w:szCs w:val="32"/>
          <w:lang w:val="en-US" w:eastAsia="zh-CN" w:bidi="ar"/>
        </w:rPr>
        <w:t xml:space="preserve">加快推进成熟商圈上档升级，在全县形成若干区域消费中心。支持商业转型升级，推动零售业转变和创新经营模式，着力压减物流等中间环节和经营成本，通过精准营销、协同管理提高规模效益，改善消费体验。促进社区生活服务业发展，大力发展便利店、社区菜店等社区商业，拓宽物业服务，加快社区便民商圈建设。深入推进城乡高效配送专项行动。丰富适合农村消费者的商品供给，完善供应渠道，充分发挥邮政系统、供销合作社系统现有农村网点布局优势，实施“邮政在乡”、升级“快递下乡”。开展农村食品经营店规范化建设试点。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加快构建“智能</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”消费生态体系。</w:t>
      </w:r>
      <w:r>
        <w:rPr>
          <w:rFonts w:hint="default" w:ascii="Times New Roman" w:hAnsi="Times New Roman" w:eastAsia="仿宋_GB2312" w:cs="Times New Roman"/>
          <w:color w:val="auto"/>
          <w:kern w:val="0"/>
          <w:sz w:val="32"/>
          <w:szCs w:val="32"/>
          <w:lang w:val="en-US" w:eastAsia="zh-CN" w:bidi="ar"/>
        </w:rPr>
        <w:t>加快</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网络等信息基础设施建设和商用步伐。支持利用</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技术对有线电视网络进行改造升级。全面推进信息进村入户，构建为农综合信息服务体系，依托“互联网</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”推动公共服务向农村延伸。提升农村地区宽带用户接入速率和普及水平，降低农村信息网络使用成本。鼓励线上线下融合等新消费模式发展。完善“互联网</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消费生态体系，鼓励建设“智慧商店”“智慧街区”“智慧商圈”，促进线上线下互动、商旅文体协同。鼓励有条件的城市和企业建设一批线上线下融合的新消费体验馆，促进消费新业态、新模式、新场景的普及应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 xml:space="preserve">第五节 优化提升消费环境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维护公平竞争市场环境。</w:t>
      </w:r>
      <w:r>
        <w:rPr>
          <w:rFonts w:hint="default" w:ascii="Times New Roman" w:hAnsi="Times New Roman" w:eastAsia="仿宋_GB2312" w:cs="Times New Roman"/>
          <w:color w:val="auto"/>
          <w:kern w:val="0"/>
          <w:sz w:val="32"/>
          <w:szCs w:val="32"/>
          <w:lang w:val="en-US" w:eastAsia="zh-CN" w:bidi="ar"/>
        </w:rPr>
        <w:t xml:space="preserve">严厉打击各类侵犯知识产权和制售伪劣商品等违法犯罪活动，彻查生产源头和销售网络，开展全链条打击，有效净化消费环境。加大对非法代购等违法违规行为的惩治力度，堵住相关商品非法入境“旁门”。加强进口产品安全追溯体系建设，提高进口产品及渠道透明度。鼓励地方监管平台、电商平台、第三方追溯平台与国家重要产品追溯平台信息互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畅通消费者维权渠道。</w:t>
      </w:r>
      <w:r>
        <w:rPr>
          <w:rFonts w:hint="default" w:ascii="Times New Roman" w:hAnsi="Times New Roman" w:eastAsia="仿宋_GB2312" w:cs="Times New Roman"/>
          <w:color w:val="auto"/>
          <w:kern w:val="0"/>
          <w:sz w:val="32"/>
          <w:szCs w:val="32"/>
          <w:lang w:val="en-US" w:eastAsia="zh-CN" w:bidi="ar"/>
        </w:rPr>
        <w:t xml:space="preserve">积极推进消费领域信用体系建设。完善个人信息保护制度和消费后评价制度，大力优化线上消费环境，加强 </w:t>
      </w:r>
      <w:r>
        <w:rPr>
          <w:rFonts w:hint="default" w:ascii="Times New Roman" w:hAnsi="Times New Roman" w:eastAsia="宋体" w:cs="Times New Roman"/>
          <w:color w:val="auto"/>
          <w:kern w:val="0"/>
          <w:sz w:val="32"/>
          <w:szCs w:val="32"/>
          <w:lang w:val="en-US" w:eastAsia="zh-CN" w:bidi="ar"/>
        </w:rPr>
        <w:t xml:space="preserve">12315 </w:t>
      </w:r>
      <w:r>
        <w:rPr>
          <w:rFonts w:hint="default" w:ascii="Times New Roman" w:hAnsi="Times New Roman" w:eastAsia="仿宋_GB2312" w:cs="Times New Roman"/>
          <w:color w:val="auto"/>
          <w:kern w:val="0"/>
          <w:sz w:val="32"/>
          <w:szCs w:val="32"/>
          <w:lang w:val="en-US" w:eastAsia="zh-CN" w:bidi="ar"/>
        </w:rPr>
        <w:t xml:space="preserve">行政执法体系和消费者维权信息化建设，形成线上线下相结合的消费者维权服务体系，强化对消费者权益的行政保护。实施产品伤害监测和预防干预。针对质量问题集中和人民群众关注的重点服务领域，加强服务质量监测。严格落实网络购买商品七日无理由退货制度，鼓励线下实体店自主承诺无理由退货。支持探索建立特色旅游商品无理由退货制度。开展消费投诉信息公示，利用网络、广播电视、维权服务点电子公示牌等多种形式公开投诉产品和服务信息。充分发挥媒体监督功能，加大对侵害消费者合法权益违法行为的曝光力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第二章 拓展有效投资空间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发挥投资对优化供给结构的关键作用，聚焦“两新一重”等重点领域，补短板、优结构、惠民生、增后劲，激发投资活力，提高投资效率，保持有效投资合理增长。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第一节 优化投资结构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加强重大项目谋划储备，聚焦</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两新一重</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等重点领域激发投资活力。优化投资结构，以高速公路网、干线公路提升、水利和湿地建设等为重点，谋划推进抽水蓄能电站、现代生物医药产业园、嵩内高速等一批强基础、增动力、提后劲的重大项目。围绕产业链供应链提级，加大新材料、生物医药等方面投资，加快设备更新和技术改造。加快补齐农业农村、公共安全、生态环保、公共卫生、物资储备、防灾减灾、养老托幼、教育医疗等领域。</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第二节 激发投资活力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放宽民间投资准入门槛，在行业准入资质标准、招投标、政府采购等领域对各类性质企业一视同仁，及时向社会发布发展规划、产业政策、行业准入标准等信息，健全向民间资本推介项目长效机制，引导民间资本通过多种方式积极参与重点领域项目建设，规范有序推进政府和社会资本合作模式（</w:t>
      </w:r>
      <w:r>
        <w:rPr>
          <w:rFonts w:hint="default" w:ascii="Times New Roman" w:hAnsi="Times New Roman" w:eastAsia="宋体" w:cs="Times New Roman"/>
          <w:color w:val="auto"/>
          <w:kern w:val="0"/>
          <w:sz w:val="32"/>
          <w:szCs w:val="32"/>
          <w:lang w:val="en-US" w:eastAsia="zh-CN" w:bidi="ar"/>
        </w:rPr>
        <w:t>PPP</w:t>
      </w:r>
      <w:r>
        <w:rPr>
          <w:rFonts w:hint="default" w:ascii="Times New Roman" w:hAnsi="Times New Roman" w:eastAsia="仿宋_GB2312" w:cs="Times New Roman"/>
          <w:color w:val="auto"/>
          <w:kern w:val="0"/>
          <w:sz w:val="32"/>
          <w:szCs w:val="32"/>
          <w:lang w:val="en-US" w:eastAsia="zh-CN" w:bidi="ar"/>
        </w:rPr>
        <w:t xml:space="preserve">）。充分发挥政府投资对民间投资的撬动作用，激发民间投资活力，形成市场主导的投资内生增长机制。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color w:val="auto"/>
          <w:kern w:val="0"/>
          <w:sz w:val="32"/>
          <w:szCs w:val="32"/>
          <w:lang w:val="en-US" w:eastAsia="zh-CN" w:bidi="ar"/>
        </w:rPr>
      </w:pPr>
      <w:r>
        <w:rPr>
          <w:rFonts w:hint="default" w:ascii="Times New Roman" w:hAnsi="Times New Roman" w:eastAsia="仿宋_GB2312" w:cs="Times New Roman"/>
          <w:b/>
          <w:color w:val="auto"/>
          <w:kern w:val="0"/>
          <w:sz w:val="32"/>
          <w:szCs w:val="32"/>
          <w:lang w:val="en-US" w:eastAsia="zh-CN" w:bidi="ar"/>
        </w:rPr>
        <w:t>深化投融资改革</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加强政府投资统筹管理，优化政府投资安排方式，有序推动政府投融资公司市场化转型。规范和创新投资项目审批制度，整合精简投资项目报建手续，推广“多规合一”“区域评估”等改革举措，强化事中事后监管，持续提升投资审批监管服务效能。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8" w:type="dxa"/>
            <w:noWrap w:val="0"/>
            <w:vAlign w:val="top"/>
          </w:tcPr>
          <w:p>
            <w:pPr>
              <w:pStyle w:val="12"/>
              <w:pageBreakBefore w:val="0"/>
              <w:kinsoku/>
              <w:wordWrap/>
              <w:bidi w:val="0"/>
              <w:spacing w:beforeAutospacing="0" w:afterAutospacing="0" w:line="580" w:lineRule="exact"/>
              <w:ind w:left="0"/>
              <w:jc w:val="center"/>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方正黑体简体" w:cs="Times New Roman"/>
                <w:b w:val="0"/>
                <w:bCs w:val="0"/>
                <w:color w:val="auto"/>
                <w:kern w:val="2"/>
                <w:sz w:val="30"/>
                <w:szCs w:val="30"/>
                <w:highlight w:val="none"/>
                <w:lang w:val="en-US" w:eastAsia="zh-CN" w:bidi="ar-SA"/>
              </w:rPr>
              <w:t>专栏7：“十四五”市场物流重大项目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8" w:type="dxa"/>
            <w:noWrap w:val="0"/>
            <w:vAlign w:val="top"/>
          </w:tcPr>
          <w:p>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beforeAutospacing="0" w:afterAutospacing="0" w:line="440" w:lineRule="exact"/>
              <w:ind w:left="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嵩县冷链物流市场；2、嵩县农贸市场建设项目；3、嵩县食用菌交易市场建设；4、嵩县九皋镇皂角刺交易市场建设项目；5、</w:t>
            </w:r>
            <w:r>
              <w:rPr>
                <w:rFonts w:hint="default" w:ascii="Times New Roman" w:hAnsi="Times New Roman" w:eastAsia="仿宋_GB2312" w:cs="Times New Roman"/>
                <w:color w:val="auto"/>
                <w:kern w:val="2"/>
                <w:sz w:val="24"/>
                <w:szCs w:val="24"/>
                <w:highlight w:val="none"/>
                <w:u w:val="none"/>
                <w:lang w:val="en-US" w:eastAsia="zh-CN" w:bidi="ar-SA"/>
              </w:rPr>
              <w:t>嵩县闫庄镇黄牛交易市场。</w:t>
            </w:r>
          </w:p>
        </w:tc>
      </w:tr>
    </w:tbl>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黑体" w:cs="Times New Roman"/>
          <w:b/>
          <w:color w:val="auto"/>
          <w:kern w:val="0"/>
          <w:sz w:val="36"/>
          <w:szCs w:val="36"/>
          <w:lang w:val="en-US" w:eastAsia="zh-CN" w:bidi="ar"/>
        </w:rPr>
      </w:pPr>
      <w:bookmarkStart w:id="45" w:name="_Toc5988"/>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cs="Times New Roman"/>
          <w:color w:val="auto"/>
        </w:rPr>
      </w:pPr>
      <w:r>
        <w:rPr>
          <w:rFonts w:hint="default" w:ascii="Times New Roman" w:hAnsi="Times New Roman" w:eastAsia="黑体" w:cs="Times New Roman"/>
          <w:b/>
          <w:color w:val="auto"/>
          <w:kern w:val="0"/>
          <w:sz w:val="36"/>
          <w:szCs w:val="36"/>
          <w:lang w:val="en-US" w:eastAsia="zh-CN" w:bidi="ar"/>
        </w:rPr>
        <w:t>第五篇 深化改革扩大开放，激发内外发展新活力</w:t>
      </w:r>
      <w:bookmarkEnd w:id="45"/>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充分发挥市场在资源配置中的决定性作用，实施市场准入“五项制度”，积极发挥政府作用，推动有效市场和有为政府更好结合。坚持实施更大范围、更宽领域、更深层次对外开放，促进国际国内合作，实现互利共赢。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46" w:name="_Toc16539"/>
      <w:r>
        <w:rPr>
          <w:rFonts w:hint="default" w:ascii="Times New Roman" w:hAnsi="Times New Roman" w:eastAsia="黑体" w:cs="Times New Roman"/>
          <w:color w:val="auto"/>
          <w:kern w:val="0"/>
          <w:sz w:val="32"/>
          <w:szCs w:val="32"/>
          <w:lang w:val="en-US" w:eastAsia="zh-CN" w:bidi="ar"/>
        </w:rPr>
        <w:t>第一章 改善提升营商环境</w:t>
      </w:r>
      <w:bookmarkEnd w:id="46"/>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47" w:name="_Toc7346"/>
      <w:r>
        <w:rPr>
          <w:rFonts w:hint="default" w:ascii="Times New Roman" w:hAnsi="Times New Roman" w:eastAsia="仿宋_GB2312" w:cs="Times New Roman"/>
          <w:b/>
          <w:color w:val="auto"/>
          <w:kern w:val="0"/>
          <w:sz w:val="32"/>
          <w:szCs w:val="32"/>
          <w:lang w:val="en-US" w:eastAsia="zh-CN" w:bidi="ar"/>
        </w:rPr>
        <w:t>第一节 营造高效便捷的政务环境</w:t>
      </w:r>
      <w:bookmarkEnd w:id="47"/>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打造高效政务环境。</w:t>
      </w:r>
      <w:r>
        <w:rPr>
          <w:rFonts w:hint="default" w:ascii="Times New Roman" w:hAnsi="Times New Roman" w:eastAsia="仿宋_GB2312" w:cs="Times New Roman"/>
          <w:color w:val="auto"/>
          <w:kern w:val="0"/>
          <w:sz w:val="32"/>
          <w:szCs w:val="32"/>
          <w:lang w:val="en-US" w:eastAsia="zh-CN" w:bidi="ar"/>
        </w:rPr>
        <w:t>持续简政放权，积极推进</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互联网</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政务服务</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加快推进政务服务网上办事大厅建设。推进便民化、标准化、高效化，打造充满活力、富有效率、更加开放的营商环境。深化事业单位改革，强化公益属性，推进政事分开、事企分开、管办分离。深化农村改革，完成土地确权、集体资产改制，成立农业综合执法队伍，为实施乡村振兴奠定基础。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大力支持民营经济。</w:t>
      </w:r>
      <w:r>
        <w:rPr>
          <w:rFonts w:hint="default" w:ascii="Times New Roman" w:hAnsi="Times New Roman" w:eastAsia="仿宋_GB2312" w:cs="Times New Roman"/>
          <w:color w:val="auto"/>
          <w:kern w:val="0"/>
          <w:sz w:val="32"/>
          <w:szCs w:val="32"/>
          <w:lang w:val="en-US" w:eastAsia="zh-CN" w:bidi="ar"/>
        </w:rPr>
        <w:t xml:space="preserve">全面落实中央、省、市、县支持民营经济发展政策举措，不断深化服务实体经济能力。深入开展服务企业活动，提高企业家政治地位，营造尊重企业家、关爱企业家、支持企业家的浓厚氛围，打造“亲”“清”新型政商关系。积极引导申报国家高新技术企业，培育国家科技型中小企业，星创天地、众创空间等孵化载体。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48" w:name="_Toc23598"/>
      <w:r>
        <w:rPr>
          <w:rFonts w:hint="default" w:ascii="Times New Roman" w:hAnsi="Times New Roman" w:eastAsia="仿宋" w:cs="Times New Roman"/>
          <w:b/>
          <w:color w:val="auto"/>
          <w:kern w:val="0"/>
          <w:sz w:val="32"/>
          <w:szCs w:val="32"/>
          <w:lang w:val="en-US" w:eastAsia="zh-CN" w:bidi="ar"/>
        </w:rPr>
        <w:t>第二节 营造公平公正的法治环境</w:t>
      </w:r>
      <w:bookmarkEnd w:id="48"/>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推进嵩县营商环境市场化、法治化、国际化建设。实施涉企经营许可事项清单管理，加强事中事后监管，对新产业新业态实行包容审慎监管。严格依法、审慎地适用查封、扣押、冻结等措施，区分个人财产和企业法人财产、违法所得与合法财产，最大限度降低对涉案企业正常生产经营活动的不利影响。以机构改革为契机，切实加强市场监管，维护市场秩序。要坚持问题导向，着力解决条例实施和消费者权益保护中的突出问题，进一步提高消费维权综合执法能力，增强全社会知法守法的自觉性和主动性。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49" w:name="_Toc20898"/>
      <w:r>
        <w:rPr>
          <w:rFonts w:hint="default" w:ascii="Times New Roman" w:hAnsi="Times New Roman" w:eastAsia="仿宋" w:cs="Times New Roman"/>
          <w:b/>
          <w:color w:val="auto"/>
          <w:kern w:val="0"/>
          <w:sz w:val="32"/>
          <w:szCs w:val="32"/>
          <w:lang w:val="en-US" w:eastAsia="zh-CN" w:bidi="ar"/>
        </w:rPr>
        <w:t>第三节 营造诚信守信的信用环境</w:t>
      </w:r>
      <w:bookmarkEnd w:id="49"/>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加快社会信用体系建设，持续推进政务诚信建设，健全政府诚信履约机制；强化信用承诺和分级分类监管，构建以信用为基础的新型监管机制；继续推进联合奖惩和信用产品应用，推进“大数据</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信用”监管理念，不断拓展“信易</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应用场景，转变经济治理模式。健全重大政策事前评估和事后评价制度，畅通参与政策制定的渠道，提高决策科学化、民主化、法治化水平。推进政务服务标准化、规范化、便利化，深化政务公开。深化行业协会、商会和中介机构改革。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50" w:name="_Toc2042"/>
      <w:r>
        <w:rPr>
          <w:rFonts w:hint="default" w:ascii="Times New Roman" w:hAnsi="Times New Roman" w:eastAsia="黑体" w:cs="Times New Roman"/>
          <w:color w:val="auto"/>
          <w:kern w:val="0"/>
          <w:sz w:val="32"/>
          <w:szCs w:val="32"/>
          <w:lang w:val="en-US" w:eastAsia="zh-CN" w:bidi="ar"/>
        </w:rPr>
        <w:t>第二章 保障市场公平竞争</w:t>
      </w:r>
      <w:bookmarkEnd w:id="50"/>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健全公平竞争审查机制，提升市场综合监管能力。深化土地管理制度改革。推进土地、劳动力、资本、技术、数据等要素市场化改革。健全要素市场运行机制，完善要素交易规则和服务体系。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51" w:name="_Toc18826"/>
      <w:r>
        <w:rPr>
          <w:rFonts w:hint="default" w:ascii="Times New Roman" w:hAnsi="Times New Roman" w:eastAsia="仿宋" w:cs="Times New Roman"/>
          <w:b/>
          <w:color w:val="auto"/>
          <w:kern w:val="0"/>
          <w:sz w:val="32"/>
          <w:szCs w:val="32"/>
          <w:lang w:val="en-US" w:eastAsia="zh-CN" w:bidi="ar"/>
        </w:rPr>
        <w:t>第一节 持续放宽市场准入</w:t>
      </w:r>
      <w:bookmarkEnd w:id="51"/>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落实市场准入政策共享和“放管服”改革协同，制定统一的管理规范，加快实现证照管理一体化，推行“证照分离”“多证合一”。实行“容缺承诺”制度，除特殊情况外，市场监管部门行政审批事项全部列入容缺承诺审批目录并动态调整。实行“筹建证明”制度，新设立企业，涉及申请食品经营、保健食品生产、药品生产、药品经营、医疗器械生产、特种设备生产等事项，在取得营业执照的同时可申请颁发“筹建证明”，为企业留在嵩县创造有利条件。实行“先证后核”制度，已经取得生产和经营许可证的企业，在变更、延续换证时先予办理。加强政务信息和数据的互联互通，提供区域性一体化受理、收件、查询、发证等服务，让企业和群众少跑腿。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52" w:name="_Toc7425"/>
      <w:r>
        <w:rPr>
          <w:rFonts w:hint="default" w:ascii="Times New Roman" w:hAnsi="Times New Roman" w:eastAsia="仿宋" w:cs="Times New Roman"/>
          <w:b/>
          <w:color w:val="auto"/>
          <w:kern w:val="0"/>
          <w:sz w:val="32"/>
          <w:szCs w:val="32"/>
          <w:lang w:val="en-US" w:eastAsia="zh-CN" w:bidi="ar"/>
        </w:rPr>
        <w:t>第二节 完善公平竞争制度</w:t>
      </w:r>
      <w:bookmarkEnd w:id="52"/>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建设高标准市场体系，落实公平竞争制度，逐步推行市场准入负面清单制度，改革生产许可制度，落实公平竞争审查制度，健全以公平为原则的产权保护制度。健全企业信用分类监管标准和企业信用修复规则，推动</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双随机一公开</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、抽查检查等信息在区域内充分共享应用。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53" w:name="_Toc18521"/>
      <w:r>
        <w:rPr>
          <w:rFonts w:hint="default" w:ascii="Times New Roman" w:hAnsi="Times New Roman" w:eastAsia="仿宋_GB2312" w:cs="Times New Roman"/>
          <w:b/>
          <w:color w:val="auto"/>
          <w:kern w:val="0"/>
          <w:sz w:val="32"/>
          <w:szCs w:val="32"/>
          <w:lang w:val="en-US" w:eastAsia="zh-CN" w:bidi="ar"/>
        </w:rPr>
        <w:t>第三节 优化要素资源配置</w:t>
      </w:r>
      <w:bookmarkEnd w:id="53"/>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统筹推进土地、资本要素市场化配置，促进技术要素与资本要素融合发展。推进要素价格市场化改革，健全要素市场运行机制。推进土地储备制度改革、优化产业用地管理、完善安置居住用地供应等政策，合理安排土地出让节奏、建设时序，实现总体平衡、滚动开发、良性循环。防范化解政府债务和隐性债务风险，持续推动政府债务常态化管理，确保债务风险可控。加强金融支持，鼓励各类金融机构开发支持“三农”、小微企业的金融产品。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54" w:name="_Toc19079"/>
      <w:r>
        <w:rPr>
          <w:rFonts w:hint="default" w:ascii="Times New Roman" w:hAnsi="Times New Roman" w:eastAsia="黑体" w:cs="Times New Roman"/>
          <w:color w:val="auto"/>
          <w:kern w:val="0"/>
          <w:sz w:val="32"/>
          <w:szCs w:val="32"/>
          <w:lang w:val="en-US" w:eastAsia="zh-CN" w:bidi="ar"/>
        </w:rPr>
        <w:t>第三章 全面提升开放水平</w:t>
      </w:r>
      <w:bookmarkEnd w:id="54"/>
      <w:r>
        <w:rPr>
          <w:rFonts w:hint="default" w:ascii="Times New Roman" w:hAnsi="Times New Roman" w:eastAsia="黑体"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坚持以全方位开放为引领，拓宽开放通道，以灵活多样的招商形式和加强对外开放交流全面提高开放水平。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55" w:name="_Toc5903"/>
      <w:r>
        <w:rPr>
          <w:rFonts w:hint="default" w:ascii="Times New Roman" w:hAnsi="Times New Roman" w:eastAsia="仿宋_GB2312" w:cs="Times New Roman"/>
          <w:b/>
          <w:color w:val="auto"/>
          <w:kern w:val="0"/>
          <w:sz w:val="32"/>
          <w:szCs w:val="32"/>
          <w:lang w:val="en-US" w:eastAsia="zh-CN" w:bidi="ar"/>
        </w:rPr>
        <w:t>第一节 着力推进开放招商</w:t>
      </w:r>
      <w:bookmarkEnd w:id="55"/>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立足主导产业和优势特色产业发展定位，以延链补链强链为重点，动态完善重点产业链图谱和招商路线图，精准引进产业链关键节点和薄弱环节企业，</w:t>
      </w:r>
      <w:r>
        <w:rPr>
          <w:rFonts w:hint="default" w:ascii="Times New Roman" w:hAnsi="Times New Roman" w:eastAsia="仿宋" w:cs="Times New Roman"/>
          <w:color w:val="auto"/>
          <w:kern w:val="0"/>
          <w:sz w:val="32"/>
          <w:szCs w:val="32"/>
          <w:lang w:val="en-US" w:eastAsia="zh-CN" w:bidi="ar"/>
        </w:rPr>
        <w:t>以开放招商推动高质量发展。</w:t>
      </w:r>
      <w:r>
        <w:rPr>
          <w:rFonts w:hint="default" w:ascii="Times New Roman" w:hAnsi="Times New Roman" w:eastAsia="仿宋_GB2312" w:cs="Times New Roman"/>
          <w:color w:val="auto"/>
          <w:kern w:val="0"/>
          <w:sz w:val="32"/>
          <w:szCs w:val="32"/>
          <w:lang w:val="en-US" w:eastAsia="zh-CN" w:bidi="ar"/>
        </w:rPr>
        <w:t>创新招商理念，提高招商实效，建好用好产业集聚区发展平台，开展市场化、专业化、精准化招商。强化田湖、饭坡产业区定向招商、以商招商，一企一案专项突破。围绕高质量项目招商，大力引进以新材料、新能源、生物医药、健康养生为主导的先进制造业、生产性服务业和研发平台项目。完善项目准入评估机制，做好差异化招引文章，深入推动跨区域合作，继续加强和巩固周边合作，积极承接长三角、京津冀、粤港澳大湾区等区域产业转移，加强“飞地经济”探索创新。</w:t>
      </w:r>
      <w:r>
        <w:rPr>
          <w:rFonts w:hint="default" w:ascii="Times New Roman" w:hAnsi="Times New Roman" w:eastAsia="仿宋" w:cs="Times New Roman"/>
          <w:color w:val="auto"/>
          <w:kern w:val="0"/>
          <w:sz w:val="32"/>
          <w:szCs w:val="32"/>
          <w:lang w:val="en-US" w:eastAsia="zh-CN" w:bidi="ar"/>
        </w:rPr>
        <w:t>完善招商引资政策措施，</w:t>
      </w:r>
      <w:r>
        <w:rPr>
          <w:rFonts w:hint="default" w:ascii="Times New Roman" w:hAnsi="Times New Roman" w:eastAsia="仿宋_GB2312" w:cs="Times New Roman"/>
          <w:color w:val="auto"/>
          <w:kern w:val="0"/>
          <w:sz w:val="32"/>
          <w:szCs w:val="32"/>
          <w:lang w:val="en-US" w:eastAsia="zh-CN" w:bidi="ar"/>
        </w:rPr>
        <w:t xml:space="preserve">在金融、土地、人才等招引要素保障方面，出台支持政策，探索建立重大产业项目联合招商机制，推动更多资源要素向本地流动。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56" w:name="_Toc22828"/>
      <w:r>
        <w:rPr>
          <w:rFonts w:hint="default" w:ascii="Times New Roman" w:hAnsi="Times New Roman" w:eastAsia="仿宋_GB2312" w:cs="Times New Roman"/>
          <w:b/>
          <w:color w:val="auto"/>
          <w:kern w:val="0"/>
          <w:sz w:val="32"/>
          <w:szCs w:val="32"/>
          <w:lang w:val="en-US" w:eastAsia="zh-CN" w:bidi="ar"/>
        </w:rPr>
        <w:t>第二节 持续扩大对外开放交流</w:t>
      </w:r>
      <w:bookmarkEnd w:id="56"/>
      <w:r>
        <w:rPr>
          <w:rFonts w:hint="default" w:ascii="Times New Roman" w:hAnsi="Times New Roman" w:eastAsia="仿宋_GB2312"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助力洛阳都市圈建设，加快完善现代开放体系，壮大开放主体，优化营商环境，放大开放平台叠加联动效应，强化制度创新和政策集成，完善各类开放平台职能，以高水平开放补短板、强优势、聚资源，形成更大范围、更深层次的对外开放新格局，主动融入</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一带一路</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建设，探索国内投资准入负面清单，争取在引进外部投资和重大项目上取得更大突破。积极参加中国农产品加工业投资贸易洽谈会等交流合作活动，树立“展会搭建平台、平台聚集资源、资源服务产业”理念，搭建农产品加工业技术交流、投资合作平台，探索前沿技术发展，聚集农产品资源要素，拓展市场空间、增添发展动能，切实谋划、实施好嵩县农产品相关推介活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auto"/>
        </w:rPr>
      </w:pPr>
      <w:r>
        <w:rPr>
          <w:rFonts w:hint="default" w:ascii="Times New Roman" w:hAnsi="Times New Roman" w:eastAsia="仿宋" w:cs="Times New Roman"/>
          <w:color w:val="auto"/>
          <w:kern w:val="0"/>
          <w:sz w:val="24"/>
          <w:szCs w:val="24"/>
          <w:lang w:val="en-US" w:eastAsia="zh-CN" w:bidi="ar"/>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12"/>
              <w:pageBreakBefore w:val="0"/>
              <w:kinsoku/>
              <w:wordWrap/>
              <w:bidi w:val="0"/>
              <w:spacing w:beforeAutospacing="0" w:afterAutospacing="0" w:line="580" w:lineRule="exact"/>
              <w:ind w:left="0"/>
              <w:jc w:val="center"/>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方正黑体简体" w:cs="Times New Roman"/>
                <w:b w:val="0"/>
                <w:bCs w:val="0"/>
                <w:color w:val="auto"/>
                <w:kern w:val="2"/>
                <w:sz w:val="30"/>
                <w:szCs w:val="30"/>
                <w:highlight w:val="none"/>
                <w:lang w:val="en-US" w:eastAsia="zh-CN" w:bidi="ar-SA"/>
              </w:rPr>
              <w:t>专栏8：“十四五”</w:t>
            </w:r>
            <w:r>
              <w:rPr>
                <w:rFonts w:hint="default" w:ascii="Times New Roman" w:hAnsi="Times New Roman" w:eastAsia="方正黑体简体" w:cs="Times New Roman"/>
                <w:b w:val="0"/>
                <w:bCs w:val="0"/>
                <w:color w:val="auto"/>
                <w:kern w:val="2"/>
                <w:sz w:val="30"/>
                <w:szCs w:val="30"/>
                <w:highlight w:val="none"/>
                <w:lang w:val="en-US" w:eastAsia="zh-Hans" w:bidi="ar-SA"/>
              </w:rPr>
              <w:t>现代开放体系</w:t>
            </w:r>
            <w:r>
              <w:rPr>
                <w:rFonts w:hint="default" w:ascii="Times New Roman" w:hAnsi="Times New Roman" w:eastAsia="方正黑体简体" w:cs="Times New Roman"/>
                <w:b w:val="0"/>
                <w:bCs w:val="0"/>
                <w:color w:val="auto"/>
                <w:kern w:val="2"/>
                <w:sz w:val="30"/>
                <w:szCs w:val="30"/>
                <w:highlight w:val="none"/>
                <w:lang w:val="en-US" w:eastAsia="zh-CN" w:bidi="ar-SA"/>
              </w:rPr>
              <w:t>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420" w:lineRule="exact"/>
              <w:ind w:left="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4"/>
                <w:szCs w:val="24"/>
                <w:highlight w:val="none"/>
                <w:lang w:eastAsia="zh-CN" w:bidi="ar-SA"/>
              </w:rPr>
              <w:t>1、中医药产业园项目；</w:t>
            </w:r>
            <w:r>
              <w:rPr>
                <w:rFonts w:hint="default" w:ascii="Times New Roman" w:hAnsi="Times New Roman" w:eastAsia="仿宋" w:cs="Times New Roman"/>
                <w:color w:val="auto"/>
                <w:kern w:val="2"/>
                <w:sz w:val="24"/>
                <w:szCs w:val="24"/>
                <w:highlight w:val="none"/>
                <w:lang w:val="en-US" w:eastAsia="zh-CN" w:bidi="ar-SA"/>
              </w:rPr>
              <w:t>2、</w:t>
            </w:r>
            <w:r>
              <w:rPr>
                <w:rFonts w:hint="default" w:ascii="Times New Roman" w:hAnsi="Times New Roman" w:eastAsia="仿宋" w:cs="Times New Roman"/>
                <w:color w:val="auto"/>
                <w:kern w:val="2"/>
                <w:sz w:val="24"/>
                <w:szCs w:val="24"/>
                <w:highlight w:val="none"/>
                <w:lang w:val="en-US" w:eastAsia="zh-Hans" w:bidi="ar-SA"/>
              </w:rPr>
              <w:t>森林康养基地建设项目</w:t>
            </w:r>
            <w:r>
              <w:rPr>
                <w:rFonts w:hint="default" w:ascii="Times New Roman" w:hAnsi="Times New Roman" w:eastAsia="仿宋"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eastAsia="zh-CN" w:bidi="ar-SA"/>
              </w:rPr>
              <w:t>3、</w:t>
            </w:r>
            <w:r>
              <w:rPr>
                <w:rFonts w:hint="default" w:ascii="Times New Roman" w:hAnsi="Times New Roman" w:eastAsia="仿宋" w:cs="Times New Roman"/>
                <w:color w:val="auto"/>
                <w:kern w:val="2"/>
                <w:sz w:val="24"/>
                <w:szCs w:val="24"/>
                <w:highlight w:val="none"/>
                <w:lang w:val="en-US" w:eastAsia="zh-Hans" w:bidi="ar-SA"/>
              </w:rPr>
              <w:t>景区</w:t>
            </w:r>
            <w:r>
              <w:rPr>
                <w:rFonts w:hint="default" w:ascii="Times New Roman" w:hAnsi="Times New Roman" w:eastAsia="仿宋" w:cs="Times New Roman"/>
                <w:color w:val="auto"/>
                <w:kern w:val="2"/>
                <w:sz w:val="24"/>
                <w:szCs w:val="24"/>
                <w:highlight w:val="none"/>
                <w:lang w:val="en-US" w:eastAsia="zh-CN" w:bidi="ar-SA"/>
              </w:rPr>
              <w:t>建设</w:t>
            </w:r>
            <w:r>
              <w:rPr>
                <w:rFonts w:hint="default" w:ascii="Times New Roman" w:hAnsi="Times New Roman" w:eastAsia="仿宋" w:cs="Times New Roman"/>
                <w:color w:val="auto"/>
                <w:kern w:val="2"/>
                <w:sz w:val="24"/>
                <w:szCs w:val="24"/>
                <w:highlight w:val="none"/>
                <w:lang w:val="en-US" w:eastAsia="zh-Hans" w:bidi="ar-SA"/>
              </w:rPr>
              <w:t>项目</w:t>
            </w:r>
            <w:r>
              <w:rPr>
                <w:rFonts w:hint="default" w:ascii="Times New Roman" w:hAnsi="Times New Roman" w:eastAsia="仿宋" w:cs="Times New Roman"/>
                <w:color w:val="auto"/>
                <w:kern w:val="2"/>
                <w:sz w:val="24"/>
                <w:szCs w:val="24"/>
                <w:highlight w:val="none"/>
                <w:lang w:eastAsia="zh-Hans" w:bidi="ar-SA"/>
              </w:rPr>
              <w:t>；4、</w:t>
            </w:r>
            <w:r>
              <w:rPr>
                <w:rFonts w:hint="default" w:ascii="Times New Roman" w:hAnsi="Times New Roman" w:eastAsia="仿宋" w:cs="Times New Roman"/>
                <w:color w:val="auto"/>
                <w:kern w:val="2"/>
                <w:sz w:val="24"/>
                <w:szCs w:val="24"/>
                <w:highlight w:val="none"/>
                <w:lang w:val="en-US" w:eastAsia="zh-Hans" w:bidi="ar-SA"/>
              </w:rPr>
              <w:t>农耕生态体验园建设项目</w:t>
            </w:r>
            <w:r>
              <w:rPr>
                <w:rFonts w:hint="default" w:ascii="Times New Roman" w:hAnsi="Times New Roman" w:eastAsia="仿宋" w:cs="Times New Roman"/>
                <w:color w:val="auto"/>
                <w:kern w:val="2"/>
                <w:sz w:val="24"/>
                <w:szCs w:val="24"/>
                <w:highlight w:val="none"/>
                <w:lang w:eastAsia="zh-Hans" w:bidi="ar-SA"/>
              </w:rPr>
              <w:t>；5、</w:t>
            </w:r>
            <w:r>
              <w:rPr>
                <w:rFonts w:hint="default" w:ascii="Times New Roman" w:hAnsi="Times New Roman" w:eastAsia="仿宋" w:cs="Times New Roman"/>
                <w:color w:val="auto"/>
                <w:kern w:val="2"/>
                <w:sz w:val="24"/>
                <w:szCs w:val="24"/>
                <w:highlight w:val="none"/>
                <w:lang w:val="en-US" w:eastAsia="zh-Hans" w:bidi="ar-SA"/>
              </w:rPr>
              <w:t>高校科研机构示范项目</w:t>
            </w:r>
            <w:r>
              <w:rPr>
                <w:rFonts w:hint="default" w:ascii="Times New Roman" w:hAnsi="Times New Roman" w:eastAsia="仿宋" w:cs="Times New Roman"/>
                <w:color w:val="auto"/>
                <w:kern w:val="2"/>
                <w:sz w:val="24"/>
                <w:szCs w:val="24"/>
                <w:highlight w:val="none"/>
                <w:lang w:eastAsia="zh-Hans" w:bidi="ar-SA"/>
              </w:rPr>
              <w:t>；</w:t>
            </w:r>
            <w:r>
              <w:rPr>
                <w:rFonts w:hint="default" w:ascii="Times New Roman" w:hAnsi="Times New Roman" w:eastAsia="仿宋" w:cs="Times New Roman"/>
                <w:color w:val="auto"/>
                <w:kern w:val="2"/>
                <w:sz w:val="24"/>
                <w:szCs w:val="24"/>
                <w:highlight w:val="none"/>
                <w:lang w:val="en-US" w:eastAsia="zh-CN" w:bidi="ar-SA"/>
              </w:rPr>
              <w:t>6、食品</w:t>
            </w:r>
            <w:r>
              <w:rPr>
                <w:rFonts w:hint="default" w:ascii="Times New Roman" w:hAnsi="Times New Roman" w:eastAsia="仿宋" w:cs="Times New Roman"/>
                <w:color w:val="auto"/>
                <w:kern w:val="2"/>
                <w:sz w:val="24"/>
                <w:szCs w:val="24"/>
                <w:highlight w:val="none"/>
                <w:lang w:val="en-US" w:eastAsia="zh-Hans" w:bidi="ar-SA"/>
              </w:rPr>
              <w:t>保健饮料产业项目</w:t>
            </w:r>
            <w:r>
              <w:rPr>
                <w:rFonts w:hint="default" w:ascii="Times New Roman" w:hAnsi="Times New Roman" w:eastAsia="仿宋" w:cs="Times New Roman"/>
                <w:color w:val="auto"/>
                <w:kern w:val="2"/>
                <w:sz w:val="24"/>
                <w:szCs w:val="24"/>
                <w:highlight w:val="none"/>
                <w:lang w:eastAsia="zh-Hans" w:bidi="ar-SA"/>
              </w:rPr>
              <w:t>。</w:t>
            </w:r>
          </w:p>
        </w:tc>
      </w:tr>
    </w:tbl>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黑体" w:cs="Times New Roman"/>
          <w:b/>
          <w:color w:val="auto"/>
          <w:spacing w:val="-11"/>
          <w:kern w:val="0"/>
          <w:sz w:val="36"/>
          <w:szCs w:val="36"/>
          <w:lang w:val="en-US" w:eastAsia="zh-CN" w:bidi="ar"/>
        </w:rPr>
      </w:pPr>
      <w:bookmarkStart w:id="57" w:name="_Toc30951"/>
      <w:r>
        <w:rPr>
          <w:rFonts w:hint="default" w:ascii="Times New Roman" w:hAnsi="Times New Roman" w:eastAsia="黑体" w:cs="Times New Roman"/>
          <w:b/>
          <w:color w:val="auto"/>
          <w:spacing w:val="-11"/>
          <w:kern w:val="0"/>
          <w:sz w:val="36"/>
          <w:szCs w:val="36"/>
          <w:lang w:val="en-US" w:eastAsia="zh-CN" w:bidi="ar"/>
        </w:rPr>
        <w:t>第六篇 实施乡村振兴战略，推动</w:t>
      </w:r>
      <w:r>
        <w:rPr>
          <w:rFonts w:hint="default" w:ascii="Times New Roman" w:hAnsi="Times New Roman" w:eastAsia="黑体" w:cs="Times New Roman"/>
          <w:b/>
          <w:color w:val="auto"/>
          <w:spacing w:val="-11"/>
          <w:kern w:val="0"/>
          <w:sz w:val="36"/>
          <w:szCs w:val="36"/>
          <w:lang w:val="en-US" w:eastAsia="zh-CN" w:bidi="ar"/>
        </w:rPr>
        <w:t>“</w:t>
      </w:r>
      <w:r>
        <w:rPr>
          <w:rFonts w:hint="default" w:ascii="Times New Roman" w:hAnsi="Times New Roman" w:eastAsia="黑体" w:cs="Times New Roman"/>
          <w:b/>
          <w:color w:val="auto"/>
          <w:spacing w:val="-11"/>
          <w:kern w:val="0"/>
          <w:sz w:val="36"/>
          <w:szCs w:val="36"/>
          <w:lang w:val="en-US" w:eastAsia="zh-CN" w:bidi="ar"/>
        </w:rPr>
        <w:t>三农</w:t>
      </w:r>
      <w:r>
        <w:rPr>
          <w:rFonts w:hint="default" w:ascii="Times New Roman" w:hAnsi="Times New Roman" w:eastAsia="黑体" w:cs="Times New Roman"/>
          <w:b/>
          <w:color w:val="auto"/>
          <w:spacing w:val="-11"/>
          <w:kern w:val="0"/>
          <w:sz w:val="36"/>
          <w:szCs w:val="36"/>
          <w:lang w:val="en-US" w:eastAsia="zh-CN" w:bidi="ar"/>
        </w:rPr>
        <w:t>”</w:t>
      </w:r>
      <w:r>
        <w:rPr>
          <w:rFonts w:hint="default" w:ascii="Times New Roman" w:hAnsi="Times New Roman" w:eastAsia="黑体" w:cs="Times New Roman"/>
          <w:b/>
          <w:color w:val="auto"/>
          <w:spacing w:val="-11"/>
          <w:kern w:val="0"/>
          <w:sz w:val="36"/>
          <w:szCs w:val="36"/>
          <w:lang w:val="en-US" w:eastAsia="zh-CN" w:bidi="ar"/>
        </w:rPr>
        <w:t>工作迈上新台阶</w:t>
      </w:r>
      <w:bookmarkEnd w:id="57"/>
      <w:r>
        <w:rPr>
          <w:rFonts w:hint="default" w:ascii="Times New Roman" w:hAnsi="Times New Roman" w:eastAsia="黑体" w:cs="Times New Roman"/>
          <w:b/>
          <w:color w:val="auto"/>
          <w:spacing w:val="-11"/>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全面推进乡村振兴战略，按照“产业兴旺、生态宜居、乡风文明、治理有效、生活富裕”总要求，以乡村产业振兴、人才振兴、文化振兴、生态振兴、组织振兴为载体，推动实现农业高质高效、乡村宜居宜业、农民富裕富足。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b/>
          <w:color w:val="auto"/>
          <w:kern w:val="0"/>
          <w:sz w:val="32"/>
          <w:szCs w:val="32"/>
          <w:lang w:val="en-US" w:eastAsia="zh-CN" w:bidi="ar"/>
        </w:rPr>
        <w:t xml:space="preserve">第一章 坚守粮食安全底线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全面落实“藏粮于地、藏粮于技”战略，落实最严格的耕地保护制度，坚决制止耕地“非农化”行为，全心全力守好全县人民“粮袋子”，切实扛稳保障粮食安全的重任。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 xml:space="preserve">第一节 加强耕地保护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探索推行“田长制”，落实最严格的耕地保护制度，严守耕地红线，坚决制止耕地“非农化”、防止“非粮化”，确保全县耕地保有量在</w:t>
      </w:r>
      <w:r>
        <w:rPr>
          <w:rFonts w:hint="default" w:ascii="Times New Roman" w:hAnsi="Times New Roman" w:eastAsia="宋体" w:cs="Times New Roman"/>
          <w:color w:val="auto"/>
          <w:kern w:val="0"/>
          <w:sz w:val="32"/>
          <w:szCs w:val="32"/>
          <w:lang w:val="en-US" w:eastAsia="zh-CN" w:bidi="ar"/>
        </w:rPr>
        <w:t>72</w:t>
      </w:r>
      <w:r>
        <w:rPr>
          <w:rFonts w:hint="default" w:ascii="Times New Roman" w:hAnsi="Times New Roman" w:eastAsia="仿宋_GB2312" w:cs="Times New Roman"/>
          <w:color w:val="auto"/>
          <w:kern w:val="0"/>
          <w:sz w:val="32"/>
          <w:szCs w:val="32"/>
          <w:lang w:val="en-US" w:eastAsia="zh-CN" w:bidi="ar"/>
        </w:rPr>
        <w:t>万亩以上，年粮食产量稳定在</w:t>
      </w:r>
      <w:r>
        <w:rPr>
          <w:rFonts w:hint="default" w:ascii="Times New Roman" w:hAnsi="Times New Roman" w:eastAsia="宋体" w:cs="Times New Roman"/>
          <w:color w:val="auto"/>
          <w:kern w:val="0"/>
          <w:sz w:val="32"/>
          <w:szCs w:val="32"/>
          <w:lang w:val="en-US" w:eastAsia="zh-CN" w:bidi="ar"/>
        </w:rPr>
        <w:t>20</w:t>
      </w:r>
      <w:r>
        <w:rPr>
          <w:rFonts w:hint="default" w:ascii="Times New Roman" w:hAnsi="Times New Roman" w:eastAsia="仿宋_GB2312" w:cs="Times New Roman"/>
          <w:color w:val="auto"/>
          <w:kern w:val="0"/>
          <w:sz w:val="32"/>
          <w:szCs w:val="32"/>
          <w:lang w:val="en-US" w:eastAsia="zh-CN" w:bidi="ar"/>
        </w:rPr>
        <w:t>万吨。稳定粮食补贴、保险、奖励等支持政策。加强耕地质量监测体系建设，完善耕地保护利益补偿机制，持续提升耕地质量。进一步完善土壤综合信息化平台和预警预测机制，及时反映耕地质量动态变化趋势。开展耕地质量定向培育，大力推广秸秆还田、增施有机肥、种植绿肥等提升技术模式，积极推广深耕深松等保护性耕作措施，推进农机农艺融合，着力改善土壤结构，提高耕地基础地力，提升耕地质量。</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第二</w:t>
      </w:r>
      <w:r>
        <w:rPr>
          <w:rFonts w:hint="default" w:ascii="Times New Roman" w:hAnsi="Times New Roman" w:eastAsia="仿宋_GB2312" w:cs="Times New Roman"/>
          <w:b/>
          <w:color w:val="auto"/>
          <w:kern w:val="0"/>
          <w:sz w:val="32"/>
          <w:szCs w:val="32"/>
          <w:lang w:val="en-US" w:eastAsia="zh-CN" w:bidi="ar"/>
        </w:rPr>
        <w:t xml:space="preserve">节 加快推进高标准农田建设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以高标准农田建设和中低产田改造为重点，对丘陵旱地进行坡改梯，建设海绵耕地。加大农业水利设施建设力度，持续改善农田基础设施薄弱环节和灌排设施，构建大中小微结合、骨干和田间衔接、长期发挥效益的农田水利基础设施网络，推进智慧水利建设，发展高效节水灌溉，深化农业水价综合改革。加强粮食生产功能区、重要农产品生产保护区和绿色农产品优势区建设。优先将田湖等乡镇农田纳入高标准农田提升改造范围，实施全县节水灌溉设施建设。到</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 xml:space="preserve">年，建成集中连片、旱涝保收、稳产高产、生态友好的高标准农田，实现耕地全覆盖。鼓励新品种研究，筛选出适合我县种植的高产优质新品种，大力推广应用。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黑体" w:cs="Times New Roman"/>
          <w:b/>
          <w:color w:val="auto"/>
          <w:kern w:val="0"/>
          <w:sz w:val="32"/>
          <w:szCs w:val="32"/>
          <w:lang w:val="en-US" w:eastAsia="zh-CN" w:bidi="ar"/>
        </w:rPr>
        <w:t xml:space="preserve">第二章 推进巩固拓展脱贫攻坚成果同乡村振兴有效衔接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坚持以人民为中心的发展思想，坚持共同富裕方向，将巩固拓展脱贫攻坚成果放在突出位置，健全乡村振兴领导体制和工作体系，做好过渡期内有效衔接。到</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 xml:space="preserve">年，脱贫攻坚成果巩固拓展，乡村振兴全面推进，脱贫地区经济活力和发展后劲明显增强，乡村产业质量效益和竞争力进一步提高。 </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color w:val="auto"/>
          <w:kern w:val="0"/>
          <w:sz w:val="32"/>
          <w:szCs w:val="32"/>
          <w:lang w:val="en-US" w:eastAsia="zh-CN" w:bidi="ar"/>
        </w:rPr>
      </w:pPr>
      <w:r>
        <w:rPr>
          <w:rFonts w:hint="default" w:ascii="Times New Roman" w:hAnsi="Times New Roman" w:eastAsia="仿宋_GB2312" w:cs="Times New Roman"/>
          <w:b/>
          <w:color w:val="auto"/>
          <w:kern w:val="0"/>
          <w:sz w:val="32"/>
          <w:szCs w:val="32"/>
          <w:lang w:val="en-US" w:eastAsia="zh-CN" w:bidi="ar"/>
        </w:rPr>
        <w:t>建立完善巩固拓展脱贫攻坚成果长效机制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建立健全巩固拓展脱贫攻坚成果五项长效机制，保持主要帮扶政策总体稳定。严格落实“四个不摘”要求，防止松劲懈怠。</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保持帮扶政策整体稳定。</w:t>
      </w:r>
      <w:r>
        <w:rPr>
          <w:rFonts w:hint="default" w:ascii="Times New Roman" w:hAnsi="Times New Roman" w:eastAsia="仿宋_GB2312" w:cs="Times New Roman"/>
          <w:color w:val="auto"/>
          <w:kern w:val="0"/>
          <w:sz w:val="32"/>
          <w:szCs w:val="32"/>
          <w:lang w:val="en-US" w:eastAsia="zh-CN" w:bidi="ar"/>
        </w:rPr>
        <w:t xml:space="preserve">延续优化现有帮扶政策，确保政策连续性。继续保持兜底救助类政策稳定。落实好教育、医疗、住房、饮水等民生保障普惠性政策，并根据脱贫人口实际困难给予适度倾斜。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健全防止返贫动态监测和帮扶机制</w:t>
      </w:r>
      <w:r>
        <w:rPr>
          <w:rFonts w:hint="default" w:ascii="Times New Roman" w:hAnsi="Times New Roman" w:eastAsia="仿宋_GB2312" w:cs="Times New Roman"/>
          <w:color w:val="auto"/>
          <w:kern w:val="0"/>
          <w:sz w:val="32"/>
          <w:szCs w:val="32"/>
          <w:lang w:val="en-US" w:eastAsia="zh-CN" w:bidi="ar"/>
        </w:rPr>
        <w:t xml:space="preserve">。健全防止返贫大数据监测平台，对脱贫不稳定户、边缘易致贫户，以及因病因灾因意外事故等刚性支出较大或收入大幅缩减导致基本生活出现严重困难户，开展定期检查、动态管理，建立健全易返贫致贫人口快速发现和响应机制。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巩固</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两不愁三保障</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成果</w:t>
      </w:r>
      <w:r>
        <w:rPr>
          <w:rFonts w:hint="default" w:ascii="Times New Roman" w:hAnsi="Times New Roman" w:eastAsia="仿宋_GB2312" w:cs="Times New Roman"/>
          <w:color w:val="auto"/>
          <w:kern w:val="0"/>
          <w:sz w:val="32"/>
          <w:szCs w:val="32"/>
          <w:lang w:val="en-US" w:eastAsia="zh-CN" w:bidi="ar"/>
        </w:rPr>
        <w:t xml:space="preserve">。落实行业主管部门工作责任，健全控辍保学工作机制，继续落实医疗救助政策，确保群众不因病致贫返贫。加强农村脱贫人口住房安全动态监测，确保低收入人口基本住房安全，巩固维护好已建农村供水工程成果，不断提升农村供水保障水平。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做好易地扶贫搬迁后续扶持工作</w:t>
      </w:r>
      <w:r>
        <w:rPr>
          <w:rFonts w:hint="default" w:ascii="Times New Roman" w:hAnsi="Times New Roman" w:eastAsia="仿宋_GB2312" w:cs="Times New Roman"/>
          <w:color w:val="auto"/>
          <w:kern w:val="0"/>
          <w:sz w:val="32"/>
          <w:szCs w:val="32"/>
          <w:lang w:val="en-US" w:eastAsia="zh-CN" w:bidi="ar"/>
        </w:rPr>
        <w:t xml:space="preserve">。政策不能松劲、力量不能减弱、工作不能断档。搬迁只是手段，致富才是目的。通过扎实开展职业技术培训，有组织实施转移就业，不断强化教育、健康、社会保障及综合服务，更好满足搬迁群众公共服务需求，确保搬迁群众稳得住、有就业、逐步能致富。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加强扶贫项目资产管理和监督</w:t>
      </w:r>
      <w:r>
        <w:rPr>
          <w:rFonts w:hint="default" w:ascii="Times New Roman" w:hAnsi="Times New Roman" w:eastAsia="仿宋_GB2312" w:cs="Times New Roman"/>
          <w:color w:val="auto"/>
          <w:kern w:val="0"/>
          <w:sz w:val="32"/>
          <w:szCs w:val="32"/>
          <w:lang w:val="en-US" w:eastAsia="zh-CN" w:bidi="ar"/>
        </w:rPr>
        <w:t xml:space="preserve">。分类摸清各类扶贫项目形成的资产底数。公益性资产要落实管护主体，明确管护责任；经营性资产要明晰产权关系，防止资产流失和被侵占，资产收益重点用于项目运行保护、巩固拓展脱贫攻坚成果、村级公益事业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第二节 做好与乡村振兴有效衔接的重点工作</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按照</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产业优质高效、乡村宜居宜业、农民富裕富足</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总要求，重点在四个方面做好与乡村振兴的有效衔接。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支持特色产业发展壮大。</w:t>
      </w:r>
      <w:r>
        <w:rPr>
          <w:rFonts w:hint="default" w:ascii="Times New Roman" w:hAnsi="Times New Roman" w:eastAsia="仿宋_GB2312" w:cs="Times New Roman"/>
          <w:color w:val="auto"/>
          <w:kern w:val="0"/>
          <w:sz w:val="32"/>
          <w:szCs w:val="32"/>
          <w:lang w:val="en-US" w:eastAsia="zh-CN" w:bidi="ar"/>
        </w:rPr>
        <w:t xml:space="preserve">大力发展中药材规模种植与加工、特色农副产品种植与加工，提高特色养殖业的规模效应，形成城乡统筹、一二三产融合发展的产业布局。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促进脱贫人口稳定就业。</w:t>
      </w:r>
      <w:r>
        <w:rPr>
          <w:rFonts w:hint="default" w:ascii="Times New Roman" w:hAnsi="Times New Roman" w:eastAsia="仿宋_GB2312" w:cs="Times New Roman"/>
          <w:color w:val="auto"/>
          <w:kern w:val="0"/>
          <w:sz w:val="32"/>
          <w:szCs w:val="32"/>
          <w:lang w:val="en-US" w:eastAsia="zh-CN" w:bidi="ar"/>
        </w:rPr>
        <w:t xml:space="preserve">搭建好县乡招聘平台，加强技能培训，促进群众自主创业。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持续改善基础设施条件。</w:t>
      </w:r>
      <w:r>
        <w:rPr>
          <w:rFonts w:hint="default" w:ascii="Times New Roman" w:hAnsi="Times New Roman" w:eastAsia="仿宋_GB2312" w:cs="Times New Roman"/>
          <w:color w:val="auto"/>
          <w:kern w:val="0"/>
          <w:sz w:val="32"/>
          <w:szCs w:val="32"/>
          <w:lang w:val="en-US" w:eastAsia="zh-CN" w:bidi="ar"/>
        </w:rPr>
        <w:t xml:space="preserve">按照实施乡村建设行动统一部署，继续加大基础设施建设力度。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 xml:space="preserve">重点谋划建设一批公路、水利、电力等区域性和跨区域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重大基础设施建设工程。</w:t>
      </w:r>
      <w:r>
        <w:rPr>
          <w:rFonts w:hint="default" w:ascii="Times New Roman" w:hAnsi="Times New Roman" w:eastAsia="仿宋_GB2312" w:cs="Times New Roman"/>
          <w:color w:val="auto"/>
          <w:kern w:val="0"/>
          <w:sz w:val="32"/>
          <w:szCs w:val="32"/>
          <w:lang w:val="en-US" w:eastAsia="zh-CN" w:bidi="ar"/>
        </w:rPr>
        <w:t xml:space="preserve">加强农村防洪、灌溉等中小型水利工程建设。推进“四好农村路”建设，加大农村产业路、旅游路建设力度。统筹推进县乡村三级物流体系建设，实施“快递进村”工程。支持电网建设和乡村电气化提升工程实施。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持续提升农村人居环境。</w:t>
      </w:r>
      <w:r>
        <w:rPr>
          <w:rFonts w:hint="default" w:ascii="Times New Roman" w:hAnsi="Times New Roman" w:eastAsia="仿宋_GB2312" w:cs="Times New Roman"/>
          <w:color w:val="auto"/>
          <w:kern w:val="0"/>
          <w:sz w:val="32"/>
          <w:szCs w:val="32"/>
          <w:lang w:val="en-US" w:eastAsia="zh-CN" w:bidi="ar"/>
        </w:rPr>
        <w:t>推进农村生活垃圾治理。不断完善农村垃圾收运处体系，积极探索具有农村特色、符合农村实际的生活垃圾分类模式，到“十四五”末，全县有条件的村庄普遍开展农村生活垃圾就地分类减量和资源化回收利用工作。实施农村污水治理。从重点区域逐步向全域铺开，推进乡村污水处理纳入城镇管网或小型污水处理设施，到“十四五”末达到</w:t>
      </w:r>
      <w:r>
        <w:rPr>
          <w:rFonts w:hint="default" w:ascii="Times New Roman" w:hAnsi="Times New Roman" w:eastAsia="宋体" w:cs="Times New Roman"/>
          <w:color w:val="auto"/>
          <w:kern w:val="0"/>
          <w:sz w:val="32"/>
          <w:szCs w:val="32"/>
          <w:lang w:val="en-US" w:eastAsia="zh-CN" w:bidi="ar"/>
        </w:rPr>
        <w:t>80%</w:t>
      </w:r>
      <w:r>
        <w:rPr>
          <w:rFonts w:hint="default" w:ascii="Times New Roman" w:hAnsi="Times New Roman" w:eastAsia="仿宋_GB2312" w:cs="Times New Roman"/>
          <w:color w:val="auto"/>
          <w:kern w:val="0"/>
          <w:sz w:val="32"/>
          <w:szCs w:val="32"/>
          <w:lang w:val="en-US" w:eastAsia="zh-CN" w:bidi="ar"/>
        </w:rPr>
        <w:t xml:space="preserve">以上。加快农村厕所革命。因地制宜推进农村户厕改造，到“十四五”末，全县农村无害化卫生厕所基本实现全覆盖，探索多种形式粪污无害化处理和资源化利用途径。提升乡村村容村貌。持续抓好乡村净化、绿化、美化、亮化、文化，开展荒芜宅基地整治、农户庭院治理等专项行动，持续完善农村基础设施和公共服务设施，着力改善乡村面貌，提升乡村品位，建成一批生态优美、宜居宜业，彰显农村特色风貌的美丽乡村。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进一步提升公共服务水平</w:t>
      </w:r>
      <w:r>
        <w:rPr>
          <w:rFonts w:hint="default" w:ascii="Times New Roman" w:hAnsi="Times New Roman" w:eastAsia="仿宋_GB2312" w:cs="Times New Roman"/>
          <w:color w:val="auto"/>
          <w:kern w:val="0"/>
          <w:sz w:val="32"/>
          <w:szCs w:val="32"/>
          <w:lang w:val="en-US" w:eastAsia="zh-CN" w:bidi="ar"/>
        </w:rPr>
        <w:t>。继续改善义务教育办学条件，加强乡村寄宿制学校和乡村小规模学校建设。加强职业教育基础能力建设，推动建设洛阳中医药职业技术学院。加大医疗卫生机构基础设施和设备配备力度，认真落实各项政策。继续加强村级综合服务设施建设，提升为民服务能力和水平。加强农村低收入人口监测，分层分类实施社会救助。合理确定农村医疗保障待遇水平。完善养老保障和儿童关爱服务，兜牢丧失劳动能力人口基本生活保障底线。延续并优化脱贫攻坚与乡村振兴政策有效衔接。做好财政投入、金融服务、土地支持、人才智力支持等政策衔接。到</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 xml:space="preserve">年，脱贫攻坚成果巩固拓展，乡村振兴全面推进，脱贫地区经济活力和发展后劲明显增强，乡村产业质量效益和竞争力进一步提高。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b/>
          <w:color w:val="auto"/>
          <w:kern w:val="0"/>
          <w:sz w:val="32"/>
          <w:szCs w:val="32"/>
          <w:lang w:val="en-US" w:eastAsia="zh-CN" w:bidi="ar"/>
        </w:rPr>
        <w:t>第三章 发展特色产业</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立足嵩县得天独厚的自然条件和资源禀赋优势，构建林、药、烟、牧、菌专业化生产格局，形成特色鲜明、优势集聚、市场竞争力强的特色农产品优势区。发展沟域经济，打造特色产业。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第一节 发展五大特色产业</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林果业。</w:t>
      </w:r>
      <w:r>
        <w:rPr>
          <w:rFonts w:hint="default" w:ascii="Times New Roman" w:hAnsi="Times New Roman" w:eastAsia="仿宋_GB2312" w:cs="Times New Roman"/>
          <w:color w:val="auto"/>
          <w:kern w:val="0"/>
          <w:sz w:val="32"/>
          <w:szCs w:val="32"/>
          <w:lang w:val="en-US" w:eastAsia="zh-CN" w:bidi="ar"/>
        </w:rPr>
        <w:t>做好桑蚕产业整体规划布局，到</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年种植规模达到</w:t>
      </w:r>
      <w:r>
        <w:rPr>
          <w:rFonts w:hint="default" w:ascii="Times New Roman" w:hAnsi="Times New Roman" w:eastAsia="宋体"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万亩、年产蚕茧达到</w:t>
      </w:r>
      <w:r>
        <w:rPr>
          <w:rFonts w:hint="default" w:ascii="Times New Roman" w:hAnsi="Times New Roman" w:eastAsia="宋体"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 xml:space="preserve">万吨，拉长桑蚕产业链条，提升产业附加值，打造全省桑蚕产业第一县。探索和推广“林禽”“林药”和“林下采集”等林下经济发展模式，加强水果类经济林和木本油料基地建设与管理，加快推进特色林业示范园区建设，加快林业从资源优势向经济优势转换。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中药材。</w:t>
      </w:r>
      <w:r>
        <w:rPr>
          <w:rFonts w:hint="default" w:ascii="Times New Roman" w:hAnsi="Times New Roman" w:eastAsia="仿宋_GB2312" w:cs="Times New Roman"/>
          <w:color w:val="auto"/>
          <w:kern w:val="0"/>
          <w:sz w:val="32"/>
          <w:szCs w:val="32"/>
          <w:lang w:val="en-US" w:eastAsia="zh-CN" w:bidi="ar"/>
        </w:rPr>
        <w:t>积极实施“木本上山、草本入川和野生抚育”工程。重点以柴胡、山茱萸、连翘、丹参、皂刺等品种为主。全县中药材规模种植面积达到</w:t>
      </w:r>
      <w:r>
        <w:rPr>
          <w:rFonts w:hint="default" w:ascii="Times New Roman" w:hAnsi="Times New Roman" w:eastAsia="宋体" w:cs="Times New Roman"/>
          <w:color w:val="auto"/>
          <w:kern w:val="0"/>
          <w:sz w:val="32"/>
          <w:szCs w:val="32"/>
          <w:lang w:val="en-US" w:eastAsia="zh-CN" w:bidi="ar"/>
        </w:rPr>
        <w:t>70</w:t>
      </w:r>
      <w:r>
        <w:rPr>
          <w:rFonts w:hint="default" w:ascii="Times New Roman" w:hAnsi="Times New Roman" w:eastAsia="仿宋_GB2312" w:cs="Times New Roman"/>
          <w:color w:val="auto"/>
          <w:kern w:val="0"/>
          <w:sz w:val="32"/>
          <w:szCs w:val="32"/>
          <w:lang w:val="en-US" w:eastAsia="zh-CN" w:bidi="ar"/>
        </w:rPr>
        <w:t xml:space="preserve">万亩。大力发展中药材加工业，加快申创河南省中药材示范园区，建成全省规模较大、层次较高的中药材加工和出口集散地。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烟草。</w:t>
      </w:r>
      <w:r>
        <w:rPr>
          <w:rFonts w:hint="default" w:ascii="Times New Roman" w:hAnsi="Times New Roman" w:eastAsia="仿宋_GB2312" w:cs="Times New Roman"/>
          <w:color w:val="auto"/>
          <w:kern w:val="0"/>
          <w:sz w:val="32"/>
          <w:szCs w:val="32"/>
          <w:lang w:val="en-US" w:eastAsia="zh-CN" w:bidi="ar"/>
        </w:rPr>
        <w:t>面积稳定在每年</w:t>
      </w:r>
      <w:r>
        <w:rPr>
          <w:rFonts w:hint="default" w:ascii="Times New Roman" w:hAnsi="Times New Roman" w:eastAsia="宋体"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 xml:space="preserve">万亩，把烟叶产业作为嵩县长期持续稳定发展的重要产业，引导烟农提升烟叶种植品质，打造绿色高效、全链条服务现代化烟叶产业。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畜牧业。</w:t>
      </w:r>
      <w:r>
        <w:rPr>
          <w:rFonts w:hint="default" w:ascii="Times New Roman" w:hAnsi="Times New Roman" w:eastAsia="仿宋_GB2312" w:cs="Times New Roman"/>
          <w:color w:val="auto"/>
          <w:kern w:val="0"/>
          <w:sz w:val="32"/>
          <w:szCs w:val="32"/>
          <w:lang w:val="en-US" w:eastAsia="zh-CN" w:bidi="ar"/>
        </w:rPr>
        <w:t xml:space="preserve">利用山区优势，依据嵩县环境承载力合理布局规模化养殖场，优化养殖结构，稳定总量，主攻质量，提高效益，重点发展羊、猪和牛饲养业，依托嵩洋奶绵羊、羊妙妙、鑫豕海、乾舜等龙头企业，把嵩县打造成全国奶绵羊养殖基地、全省奶山羊养殖基地、豫西乃至全省最大的肉牛交易基地。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食用菌</w:t>
      </w:r>
      <w:r>
        <w:rPr>
          <w:rFonts w:hint="default" w:ascii="Times New Roman" w:hAnsi="Times New Roman" w:eastAsia="仿宋_GB2312" w:cs="Times New Roman"/>
          <w:color w:val="auto"/>
          <w:kern w:val="0"/>
          <w:sz w:val="32"/>
          <w:szCs w:val="32"/>
          <w:lang w:val="en-US" w:eastAsia="zh-CN" w:bidi="ar"/>
        </w:rPr>
        <w:t xml:space="preserve">。积极发展香菇、黑木耳、羊肚菌等特色高效食用菌产业，产量稳定在 </w:t>
      </w:r>
      <w:r>
        <w:rPr>
          <w:rFonts w:hint="default" w:ascii="Times New Roman" w:hAnsi="Times New Roman" w:eastAsia="宋体" w:cs="Times New Roman"/>
          <w:color w:val="auto"/>
          <w:kern w:val="0"/>
          <w:sz w:val="32"/>
          <w:szCs w:val="32"/>
          <w:lang w:val="en-US" w:eastAsia="zh-CN" w:bidi="ar"/>
        </w:rPr>
        <w:t xml:space="preserve">2 </w:t>
      </w:r>
      <w:r>
        <w:rPr>
          <w:rFonts w:hint="default" w:ascii="Times New Roman" w:hAnsi="Times New Roman" w:eastAsia="仿宋_GB2312" w:cs="Times New Roman"/>
          <w:color w:val="auto"/>
          <w:kern w:val="0"/>
          <w:sz w:val="32"/>
          <w:szCs w:val="32"/>
          <w:lang w:val="en-US" w:eastAsia="zh-CN" w:bidi="ar"/>
        </w:rPr>
        <w:t xml:space="preserve">亿袋，打造集生产、加工、销售为一体的全链条化生产模式。推广绿色生产栽培技术，提高香菇菌棒生产能力和质量，确保种植农户获得稳定收益。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第二节 发展沟域经济</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按照“发展特色农业、培育特色产业、推进三产融合，实现一沟一特色、一域一经济”的要求，创新发展沟域经济，走出一条以沟域经济为主的山区经济发展新模式。每年打造 1 条市级沟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域经济示范带，到2025年建成10条市级沟域经济示范带，10条县级沟域经济示范带。将沟域生态经济发展与巩固脱贫攻坚成果相结合，不断提高贫困人口收入水平；与全面实施乡村振兴战略相结合，不断提高乡村魅力和吸引力；与黄河流域生态保护和高质量发展相结合，不断提高丘陵山区生态承载力和可持续发展能力。到 2025 年，全县沟域经济年度综合经济效益力争达到5亿元以上，真正把沟域经济示范带打造成为嵩县乡村振兴先行区和生态保护与高质量发展样板区。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b/>
          <w:color w:val="auto"/>
          <w:kern w:val="0"/>
          <w:sz w:val="32"/>
          <w:szCs w:val="32"/>
          <w:lang w:val="en-US" w:eastAsia="zh-CN" w:bidi="ar"/>
        </w:rPr>
        <w:t>第四章 构建现代农业生产经营体系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推动农业全产业链科技化改造，加强智能化，强化农机农艺结合，坚持质量兴农，积极培育新型农业经营主体，构建现代农业生产经营体系。</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color w:val="auto"/>
          <w:kern w:val="0"/>
          <w:sz w:val="32"/>
          <w:szCs w:val="32"/>
          <w:lang w:val="en-US" w:eastAsia="zh-CN" w:bidi="ar"/>
        </w:rPr>
      </w:pPr>
      <w:r>
        <w:rPr>
          <w:rFonts w:hint="default" w:ascii="Times New Roman" w:hAnsi="Times New Roman" w:eastAsia="仿宋" w:cs="Times New Roman"/>
          <w:b/>
          <w:color w:val="auto"/>
          <w:kern w:val="0"/>
          <w:sz w:val="32"/>
          <w:szCs w:val="32"/>
          <w:lang w:val="en-US" w:eastAsia="zh-CN" w:bidi="ar"/>
        </w:rPr>
        <w:t>构建现代农业生产体系</w:t>
      </w:r>
      <w:r>
        <w:rPr>
          <w:rFonts w:hint="default" w:ascii="Times New Roman" w:hAnsi="Times New Roman" w:eastAsia="仿宋_GB2312" w:cs="Times New Roman"/>
          <w:b/>
          <w:color w:val="auto"/>
          <w:kern w:val="0"/>
          <w:sz w:val="32"/>
          <w:szCs w:val="32"/>
          <w:lang w:val="en-US" w:eastAsia="zh-CN" w:bidi="ar"/>
        </w:rPr>
        <w:t>提升农田生产保障能力</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加强农田水利建设，实施农业节水行动，加快灌区续建配套与现代化改造，推进小型农田水利设施达标提质，推进重点高效节水灌溉工程建设。积极推进农业用水、用电机制体制改革，实现农业动力电行政村全覆盖。充分发挥农田水电基础设施作用，全面提升防汛抗旱减灾能力。</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提高农业生产资料供给水平。</w:t>
      </w:r>
      <w:r>
        <w:rPr>
          <w:rFonts w:hint="default" w:ascii="Times New Roman" w:hAnsi="Times New Roman" w:eastAsia="仿宋_GB2312" w:cs="Times New Roman"/>
          <w:color w:val="auto"/>
          <w:kern w:val="0"/>
          <w:sz w:val="32"/>
          <w:szCs w:val="32"/>
          <w:lang w:val="en-US" w:eastAsia="zh-CN" w:bidi="ar"/>
        </w:rPr>
        <w:t xml:space="preserve">建立以市场主体、政策引导、政府监控的主要生产资料供给体系，着力提高优良品种、优质肥料、生物农药、动物疫苗、优质牧草和饲料等主要生产资料保障能力，为农业提质发展注入新动能。推广经济作物、养殖业、丘陵山区农林机械设备。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加快建设农业科技创新体系</w:t>
      </w:r>
      <w:r>
        <w:rPr>
          <w:rFonts w:hint="default" w:ascii="Times New Roman" w:hAnsi="Times New Roman" w:eastAsia="仿宋_GB2312" w:cs="Times New Roman"/>
          <w:color w:val="auto"/>
          <w:kern w:val="0"/>
          <w:sz w:val="32"/>
          <w:szCs w:val="32"/>
          <w:lang w:val="en-US" w:eastAsia="zh-CN" w:bidi="ar"/>
        </w:rPr>
        <w:t xml:space="preserve">。深化农业科技成果转化和推广应用改革，加快推进种业培育推广、耕种养殖方式改进、病虫害防治、农产品仓储保鲜、农产品加工包装销售等技术创新和推广应用。依托省农科院、河南农大等科研团队，培育组建农业技术团，完善科技特派员制度、产业指导员制度和农技推广网络，推动农业科技进步贡献率大幅提高。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建立</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三农</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大数据平台。</w:t>
      </w:r>
      <w:r>
        <w:rPr>
          <w:rFonts w:hint="default" w:ascii="Times New Roman" w:hAnsi="Times New Roman" w:eastAsia="仿宋_GB2312" w:cs="Times New Roman"/>
          <w:color w:val="auto"/>
          <w:kern w:val="0"/>
          <w:sz w:val="32"/>
          <w:szCs w:val="32"/>
          <w:lang w:val="en-US" w:eastAsia="zh-CN" w:bidi="ar"/>
        </w:rPr>
        <w:t>依托信息进村入户工程，大力发展数字农业、智慧农业，推进物联网试验示范和遥感技术应用，建立</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三农</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大数据平台，提高“三农”工作现代化管理服务水平。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打造农产品销售公共服务平台。</w:t>
      </w:r>
      <w:r>
        <w:rPr>
          <w:rFonts w:hint="default" w:ascii="Times New Roman" w:hAnsi="Times New Roman" w:eastAsia="仿宋_GB2312" w:cs="Times New Roman"/>
          <w:color w:val="auto"/>
          <w:kern w:val="0"/>
          <w:sz w:val="32"/>
          <w:szCs w:val="32"/>
          <w:lang w:val="en-US" w:eastAsia="zh-CN" w:bidi="ar"/>
        </w:rPr>
        <w:t>加快推进农村电子商务网络建设，依托“嵩县电子商务中心”，健全农产品产销稳定衔接机制，建设促进农村电子商务发展的基础设施，加快推进乡村流通现代化。</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完善农业农村金融政策体系。</w:t>
      </w:r>
      <w:r>
        <w:rPr>
          <w:rFonts w:hint="default" w:ascii="Times New Roman" w:hAnsi="Times New Roman" w:eastAsia="仿宋_GB2312" w:cs="Times New Roman"/>
          <w:color w:val="auto"/>
          <w:kern w:val="0"/>
          <w:sz w:val="32"/>
          <w:szCs w:val="32"/>
          <w:lang w:val="en-US" w:eastAsia="zh-CN" w:bidi="ar"/>
        </w:rPr>
        <w:t xml:space="preserve">优化农业农村金融服务体系，发展普惠制金融，积极构建农业农村金融诚信体系，建立金融支持农业评价体系，为农业适度规模经营、产业结构调整、农产品提质增效、农副产品加工、农业冷链物流网建设、农村电商、精准脱贫等提供有效金融保障。拓宽农业保险服务体系。在政府引导下，保险机构创新产品，积极推动农产品价格指数保险，加快建立多层次农业保险体系，保证农民收入稳中有升。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坚持质量兴农战略。</w:t>
      </w:r>
      <w:r>
        <w:rPr>
          <w:rFonts w:hint="default" w:ascii="Times New Roman" w:hAnsi="Times New Roman" w:eastAsia="仿宋_GB2312" w:cs="Times New Roman"/>
          <w:color w:val="auto"/>
          <w:kern w:val="0"/>
          <w:sz w:val="32"/>
          <w:szCs w:val="32"/>
          <w:lang w:val="en-US" w:eastAsia="zh-CN" w:bidi="ar"/>
        </w:rPr>
        <w:t xml:space="preserve">建立激励机制，以市场为导向，以特色农产品优势区创建为抓手，打造一批农业标准化生产示范基地、绿色食品生产基地、无公害农产品生产基地。在巩固提升现有“三品一标”农产品的基础上，到 2025 年嵩县“三品一标”认证总数达到 60 个。依托“嵩上好礼”农产品区域公用品牌深入推进农业绿色生态、高质高效发展。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实施农产品质量安全战略。</w:t>
      </w:r>
      <w:r>
        <w:rPr>
          <w:rFonts w:hint="default" w:ascii="Times New Roman" w:hAnsi="Times New Roman" w:eastAsia="仿宋_GB2312" w:cs="Times New Roman"/>
          <w:color w:val="auto"/>
          <w:kern w:val="0"/>
          <w:sz w:val="32"/>
          <w:szCs w:val="32"/>
          <w:lang w:val="en-US" w:eastAsia="zh-CN" w:bidi="ar"/>
        </w:rPr>
        <w:t xml:space="preserve">在省级农产品质量安全县的基础上，持续完善农产品质量和食品安全标准体系，加强农业投入品和农产品质量安全追溯体系建设，健全农产品质量和食品安全监管体系，提升基层监管能力，力争“十四五”期间成功创建国家级农产品质量安全县。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第二节 构建新型农业经营体系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积极引导适度规模经营。</w:t>
      </w:r>
      <w:r>
        <w:rPr>
          <w:rFonts w:hint="default" w:ascii="Times New Roman" w:hAnsi="Times New Roman" w:eastAsia="仿宋_GB2312" w:cs="Times New Roman"/>
          <w:color w:val="auto"/>
          <w:kern w:val="0"/>
          <w:sz w:val="32"/>
          <w:szCs w:val="32"/>
          <w:lang w:val="en-US" w:eastAsia="zh-CN" w:bidi="ar"/>
        </w:rPr>
        <w:t xml:space="preserve">建立完善财税、信贷、保险、用地、基础设施保障、重点项目支持等政策体系，积极营造适度规模经营的政治经济社会环境。鼓励引导土地、林地、荒山有序有效流转；支持农业生产、家庭养殖、小作坊加工、家庭宾馆、仓储物流等行业实施有效托管。积极培育嵩县本地的各类加工车间、产业基地、生态旅游园区、特色产业园区、田园综合体和农业产业化集群，提高农业产业组织化程度，提高农业附加值和综合效益。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积极培育新型农业经营主体。</w:t>
      </w:r>
      <w:r>
        <w:rPr>
          <w:rFonts w:hint="default" w:ascii="Times New Roman" w:hAnsi="Times New Roman" w:eastAsia="仿宋_GB2312" w:cs="Times New Roman"/>
          <w:color w:val="auto"/>
          <w:kern w:val="0"/>
          <w:sz w:val="32"/>
          <w:szCs w:val="32"/>
          <w:lang w:val="en-US" w:eastAsia="zh-CN" w:bidi="ar"/>
        </w:rPr>
        <w:t>加强职业农民培育，优化农业从业者结构，加快建设知识型、技能型、创新型农业经营者队伍。加强政策、信息、技术、金融、管理、人才服务，鼓励企业兼并重组，支持大户、家庭农场、农民专业合作社、农业产业化龙头企业等新型经营主体发展壮大。 到2025年，每个乡镇至少新增或引进1个市级龙头企业。</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加快培育现代农业产业集群。</w:t>
      </w:r>
      <w:r>
        <w:rPr>
          <w:rFonts w:hint="default" w:ascii="Times New Roman" w:hAnsi="Times New Roman" w:eastAsia="仿宋_GB2312" w:cs="Times New Roman"/>
          <w:color w:val="auto"/>
          <w:kern w:val="0"/>
          <w:sz w:val="32"/>
          <w:szCs w:val="32"/>
          <w:lang w:val="en-US" w:eastAsia="zh-CN" w:bidi="ar"/>
        </w:rPr>
        <w:t>着力培育各类专业化市场化服务组织。探索发展农业产业化联合体，拓展生产资料流转托管、关键生产环节指导托管、生产资料保障供给、生产过程技术服务以及订单生产、价格担保、农业保险等合作项目，推进农业生产全程社会化服务。大力开发农业多种功能，提升价值链、完善利益链。</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构建农业对外开放新格局。</w:t>
      </w:r>
      <w:r>
        <w:rPr>
          <w:rFonts w:hint="default" w:ascii="Times New Roman" w:hAnsi="Times New Roman" w:eastAsia="仿宋_GB2312" w:cs="Times New Roman"/>
          <w:color w:val="auto"/>
          <w:kern w:val="0"/>
          <w:sz w:val="32"/>
          <w:szCs w:val="32"/>
          <w:lang w:val="en-US" w:eastAsia="zh-CN" w:bidi="ar"/>
        </w:rPr>
        <w:t xml:space="preserve">积极推进出口食品农产品质量安全示范区创建，扩大高附加值农产品出口。加大农业招商引资力度，引导工商资本向农业农村流动，支持省内外优势企业到乡村投资兴业。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color w:val="auto"/>
          <w:kern w:val="0"/>
          <w:sz w:val="32"/>
          <w:szCs w:val="32"/>
          <w:lang w:val="en-US" w:eastAsia="zh-CN" w:bidi="ar"/>
        </w:rPr>
        <w:t>创新农户与新型经营主体多样化的联结模式。</w:t>
      </w:r>
      <w:r>
        <w:rPr>
          <w:rFonts w:hint="default" w:ascii="Times New Roman" w:hAnsi="Times New Roman" w:eastAsia="仿宋_GB2312" w:cs="Times New Roman"/>
          <w:color w:val="auto"/>
          <w:kern w:val="0"/>
          <w:sz w:val="32"/>
          <w:szCs w:val="32"/>
          <w:lang w:val="en-US" w:eastAsia="zh-CN" w:bidi="ar"/>
        </w:rPr>
        <w:t>发挥农业经营主体带动作用，依托“嵩上好礼”区域公用品牌，开展农超对接、农社对接、农企对接，实现农村田间地头与市场有效衔接，促进小农户和现代产业发展有机衔接，通过保底分红、股份合作、利润返还、吸纳就业等多种联合合作形式，让农民合理分享全产业链增值收益。扶持小农户发展生态农业、设施农业、体验农业、定制农业，提高产品档次和附加值，拓展农户增收渠道和空间。</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仿宋_GB2312" w:cs="Times New Roman"/>
          <w:color w:val="auto"/>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1"/>
          <w:szCs w:val="31"/>
          <w:lang w:val="en-US" w:eastAsia="zh-CN" w:bidi="ar"/>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
              <w:pageBreakBefore w:val="0"/>
              <w:kinsoku/>
              <w:wordWrap/>
              <w:bidi w:val="0"/>
              <w:spacing w:beforeAutospacing="0" w:afterAutospacing="0" w:line="580" w:lineRule="exact"/>
              <w:ind w:left="0"/>
              <w:jc w:val="center"/>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方正黑体简体" w:cs="Times New Roman"/>
                <w:b w:val="0"/>
                <w:bCs w:val="0"/>
                <w:color w:val="auto"/>
                <w:kern w:val="2"/>
                <w:sz w:val="30"/>
                <w:szCs w:val="30"/>
                <w:highlight w:val="none"/>
                <w:vertAlign w:val="baseline"/>
                <w:lang w:val="en-US" w:eastAsia="zh-CN" w:bidi="ar-SA"/>
              </w:rPr>
              <w:t>专栏9：“十四五”重大农业项目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22" w:type="dxa"/>
            <w:noWrap w:val="0"/>
            <w:vAlign w:val="top"/>
          </w:tcPr>
          <w:p>
            <w:pPr>
              <w:pStyle w:val="12"/>
              <w:keepNext w:val="0"/>
              <w:keepLines w:val="0"/>
              <w:pageBreakBefore w:val="0"/>
              <w:widowControl w:val="0"/>
              <w:numPr>
                <w:ilvl w:val="0"/>
                <w:numId w:val="7"/>
              </w:numPr>
              <w:kinsoku/>
              <w:wordWrap/>
              <w:overflowPunct/>
              <w:topLinePunct w:val="0"/>
              <w:autoSpaceDE w:val="0"/>
              <w:autoSpaceDN w:val="0"/>
              <w:bidi w:val="0"/>
              <w:adjustRightInd w:val="0"/>
              <w:snapToGrid/>
              <w:spacing w:beforeAutospacing="0" w:afterAutospacing="0" w:line="440" w:lineRule="exact"/>
              <w:ind w:left="0" w:firstLine="480" w:firstLineChars="200"/>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嵩县沟域经济建设项目；2、嵩县高标准农田建设项目；3、嵩县中药材种植基地建设；4、烟叶种植项目；5、林下经济项目；6、食用菌基地建设项目；</w:t>
            </w:r>
            <w:r>
              <w:rPr>
                <w:rFonts w:hint="default"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kern w:val="2"/>
                <w:sz w:val="24"/>
                <w:szCs w:val="24"/>
                <w:highlight w:val="none"/>
                <w:lang w:val="en-US" w:eastAsia="zh-CN" w:bidi="ar-SA"/>
              </w:rPr>
              <w:t>河南嵩洋东佛利升奶绵羊科技产业园；8、正大鑫</w:t>
            </w:r>
            <w:r>
              <w:rPr>
                <w:rFonts w:hint="default" w:ascii="Times New Roman" w:hAnsi="Times New Roman" w:eastAsia="仿宋_GB2312" w:cs="Times New Roman"/>
                <w:color w:val="auto"/>
                <w:sz w:val="24"/>
                <w:szCs w:val="24"/>
                <w:highlight w:val="none"/>
                <w:lang w:val="en-US" w:eastAsia="zh-CN"/>
              </w:rPr>
              <w:t>豕海扩建项目；9、嵩县肉牛养殖畜牧；10、健康食品产业园项目；11、桑蚕产业项目；12、蔬菜优质种苗繁育及生产基地建设项目；13、区域品牌农产品开发项目；14、皂刺改良项目。</w:t>
            </w:r>
          </w:p>
        </w:tc>
      </w:tr>
    </w:tbl>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31"/>
          <w:szCs w:val="31"/>
          <w:lang w:val="en-US" w:eastAsia="zh-CN" w:bidi="ar"/>
        </w:rPr>
        <w:t>第五章 推进乡村一二三产业深度融合</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培育农业农村新产业新业态，打造农村产业融合发展新载体新模式，推动要素跨界配置和产业有机融合，让农村一二三产业在融合发展中同步升级、同步增值、同步受益。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发展农产品加工业。</w:t>
      </w:r>
      <w:r>
        <w:rPr>
          <w:rFonts w:hint="default" w:ascii="Times New Roman" w:hAnsi="Times New Roman" w:eastAsia="仿宋_GB2312" w:cs="Times New Roman"/>
          <w:color w:val="auto"/>
          <w:kern w:val="0"/>
          <w:sz w:val="32"/>
          <w:szCs w:val="32"/>
          <w:lang w:val="en-US" w:eastAsia="zh-CN" w:bidi="ar"/>
        </w:rPr>
        <w:t xml:space="preserve">大力发展农产品加工示范园区、示范企业，引导农产品加工业向主产区、优势产区、特色产区、重点销售区及关键物流节点梯度转移。扶持壮大农业产业化重点龙头企业。通过项目实施，开展跨区域、跨行业、跨所有制的联合与合作，打造一批知名企业和品牌。鼓励龙头企业通过订单生产、土地股份合作、土地托管等服务方式，建立完善农民利益共享机制。持续推进农业产业化集群建设。推进主食产业化，大力发展方便食品、休闲食品、速冻食品，加强食品配送体系建设。提高果蔬采摘加工转化率和商品化处理水平。推广“生产基地＋中央厨房＋餐饮门店”、“生产基地＋加工企业＋商超销售”等产销模式。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建设现代农业产业园。</w:t>
      </w:r>
      <w:r>
        <w:rPr>
          <w:rFonts w:hint="default" w:ascii="Times New Roman" w:hAnsi="Times New Roman" w:eastAsia="仿宋_GB2312" w:cs="Times New Roman"/>
          <w:color w:val="auto"/>
          <w:kern w:val="0"/>
          <w:sz w:val="32"/>
          <w:szCs w:val="32"/>
          <w:lang w:val="en-US" w:eastAsia="zh-CN" w:bidi="ar"/>
        </w:rPr>
        <w:t xml:space="preserve">以规模化种养基地为基础，依托农业产业化龙头企业带动，聚集现代生产要素，建设“生产＋加工＋科技”的现代农业产业园，发挥技术集成、产业融合、创业平台、核心辐射等功能作用。统筹规划农业综合开发等相关项目，集中建设产业园基础设施和配套服务体系，吸引龙头企业和科研机构建设运营产业园，发展设施农业、精准农业。鼓励农民和返乡下乡人员通过订单农业、股份合作、入园创业就业等多种方式，参与建设、分享收益。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推进“互联网</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”现代农业。</w:t>
      </w:r>
      <w:r>
        <w:rPr>
          <w:rFonts w:hint="default" w:ascii="Times New Roman" w:hAnsi="Times New Roman" w:eastAsia="仿宋_GB2312" w:cs="Times New Roman"/>
          <w:color w:val="auto"/>
          <w:kern w:val="0"/>
          <w:sz w:val="32"/>
          <w:szCs w:val="32"/>
          <w:lang w:val="en-US" w:eastAsia="zh-CN" w:bidi="ar"/>
        </w:rPr>
        <w:t xml:space="preserve">实施智慧农业工程，应用物联网、云计算、大数据、移动互联等现代信息技术改造升级传统农业，促进新型农业经营主体、加工流通企业与电商企业全面对接融合，推动线上线下互动发展。实施信息进村入户工程，实现所有行政村益农信息社全覆盖。支持农产品电商平台和乡村电商服务站点建设。鼓励大型电商平台企业开展农村电商服务，建立健全适应农村电商发展的农产品质量分级、采后处理、包装配送等标准体系。加强与阿里巴巴、苏宁云商、京东等知名企业合作，培育本土特色电商。推动商贸、供销、邮政、电商互联互通，加强物流配送体系建设，实施快递下乡工程。加强农产品流通体系建设，完善产地预冷等冷链物流基础设施，推进鲜活农产品直供直销。推进万邦物流大型综合性农产品物流批发市场建设。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发展都市生态农业。</w:t>
      </w:r>
      <w:r>
        <w:rPr>
          <w:rFonts w:hint="default" w:ascii="Times New Roman" w:hAnsi="Times New Roman" w:eastAsia="仿宋_GB2312" w:cs="Times New Roman"/>
          <w:color w:val="auto"/>
          <w:kern w:val="0"/>
          <w:sz w:val="32"/>
          <w:szCs w:val="32"/>
          <w:lang w:val="en-US" w:eastAsia="zh-CN" w:bidi="ar"/>
        </w:rPr>
        <w:t>大力发展现代农业科技示范园、田园综合体、休闲观光农业、城市景观农业、农业生态公园等现代农业业态。利用“旅游</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”“生态</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等模式，推进农业与旅游、教育、文化、康养等产业深度融合。深度挖掘农业在休闲度假、农业观光、养生养老、农耕体验、乡村工艺等方面的新功能，丰富乡村旅游业态，规划建设各类主题乡村旅游精品线路。鼓励农村集体经济组织创办乡村旅游合作社，或与社会资本联办乡村旅游企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第六章 加强乡村环境治理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树立山水林田湖草是一个生命共同体的理念，加强对乡村自然生态空间的整体保护，修复和改善乡村生态环境，提升生态功能和服务价值。</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第一节 全面推行农业清洁生产</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巩固农药化肥使用量零增长行动成果，提升水肥一体化及病虫害防治等薄弱环节的机械化水平，提高化肥、农药等农业投入品利用率。全面实现化肥农药使用量负增长。全面落实农用地分类管理，建立农产品产地土壤环境质量和安全调查、监督、评价和类别划分机制。建立农用地土壤污染责任认定管理制度，开展受污染耕地安全利用和治理修复，构建科学的农业废弃物回收利用体系。推进水产和畜禽规模化养殖场标准化、生态化建设。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第二节 加快推进农村人居环境整治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开展以农村垃圾污水治理、厕所革命和村容村貌提升为重点的农村人居环境整治行动，建立生活垃圾分类管理标准体系，加快推进农村生活污水集中处理和“厕所革命”，在景区景点周边、风景廊道、城镇郊区，梯次推进农村人居环境整治达标村、示范村、美丽乡村（传统村落）建设，串点成线、连线成面，打造嵩县环城美丽乡村示范廊。到2025年，生活水处理率达到70%以上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第七章 全面深化农村改革</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健全城乡融合发展机制，推动城乡要素平等交换、双向流动，增强农业农村发展活力。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 w:cs="Times New Roman"/>
          <w:b/>
          <w:color w:val="auto"/>
          <w:kern w:val="0"/>
          <w:sz w:val="32"/>
          <w:szCs w:val="32"/>
          <w:lang w:val="en-US" w:eastAsia="zh-CN" w:bidi="ar"/>
        </w:rPr>
      </w:pPr>
      <w:r>
        <w:rPr>
          <w:rFonts w:hint="default" w:ascii="Times New Roman" w:hAnsi="Times New Roman" w:eastAsia="仿宋" w:cs="Times New Roman"/>
          <w:b/>
          <w:color w:val="auto"/>
          <w:kern w:val="0"/>
          <w:sz w:val="32"/>
          <w:szCs w:val="32"/>
          <w:lang w:val="en-US" w:eastAsia="zh-CN" w:bidi="ar"/>
        </w:rPr>
        <w:t xml:space="preserve">第一节 持续深化农村土地承包经营权改革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全面实现农村土地承包经营权确权登记，颁证确权数据共享和成果应用，全面建立承包合同网签管理系统，完成与不动产登记制度衔接。推进农村集体经营性资产、林地、小型水利设施及农业设施等合规交易品种入市交易。完善农村集体产权权能，深化“三变”改革，推动资源变资产、资金变股金、农民变股东，进一步激活农村各种资源要素，多种形式发展壮大集体经济，拓宽农民增收渠道。落实宅基地所有权、资格权、使用权“三权分置”，稳妥开展农村宅基地改革。推进经营体制改革，发展多种形式的农业适度规模经营。发展土地股份合作组织，推广土地托管、代耕代种、订单农业等集中服务形式，发展服务型规模经营。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lang w:val="en-US" w:eastAsia="zh-CN" w:bidi="ar"/>
        </w:rPr>
        <w:t>第二节 发展壮大农村集体经济</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充分发挥村党组织的战斗堡垒作用，切实加强对集体经济组织的领导，完善农民对集体资产股份的占有、收益、有偿退出及抵押、担保、继承等权能的管理办法，充实农村集体产权权能，充分利用农村集体产权制度改革成果，引导有经营性资产的行政村采用资产租赁、稳健投资等方式壮大集体经济，对没有经营性资产的行政村结合区位优势采用资源整合、政府项目扶持、服务创收等模式发展集体经济。鼓励经济实力强的农村集体经济组织辐射带动周边村庄共同发展，重点打造一批集体经济示范村。到2025年，全县所有村集体经济收入达到10万元以上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
              <w:pageBreakBefore w:val="0"/>
              <w:kinsoku/>
              <w:wordWrap/>
              <w:bidi w:val="0"/>
              <w:spacing w:beforeAutospacing="0" w:afterAutospacing="0" w:line="580" w:lineRule="exact"/>
              <w:ind w:left="0"/>
              <w:jc w:val="center"/>
              <w:rPr>
                <w:rFonts w:hint="default" w:ascii="Times New Roman" w:hAnsi="Times New Roman" w:eastAsia="仿宋" w:cs="Times New Roman"/>
                <w:color w:val="auto"/>
                <w:sz w:val="28"/>
                <w:szCs w:val="28"/>
                <w:highlight w:val="none"/>
                <w:lang w:val="en-US" w:bidi="ar-SA"/>
              </w:rPr>
            </w:pPr>
            <w:bookmarkStart w:id="58" w:name="_Toc4088"/>
            <w:r>
              <w:rPr>
                <w:rFonts w:hint="default" w:ascii="Times New Roman" w:hAnsi="Times New Roman" w:eastAsia="方正黑体简体" w:cs="Times New Roman"/>
                <w:b w:val="0"/>
                <w:bCs w:val="0"/>
                <w:color w:val="auto"/>
                <w:sz w:val="30"/>
                <w:szCs w:val="30"/>
                <w:highlight w:val="none"/>
                <w:lang w:val="en-US" w:bidi="ar-SA"/>
              </w:rPr>
              <w:t>专栏</w:t>
            </w:r>
            <w:r>
              <w:rPr>
                <w:rFonts w:hint="default" w:ascii="Times New Roman" w:hAnsi="Times New Roman" w:eastAsia="方正黑体简体" w:cs="Times New Roman"/>
                <w:b w:val="0"/>
                <w:bCs w:val="0"/>
                <w:color w:val="auto"/>
                <w:sz w:val="30"/>
                <w:szCs w:val="30"/>
                <w:highlight w:val="none"/>
                <w:lang w:val="en-US" w:eastAsia="zh-CN" w:bidi="ar-SA"/>
              </w:rPr>
              <w:t>10</w:t>
            </w:r>
            <w:r>
              <w:rPr>
                <w:rFonts w:hint="default" w:ascii="Times New Roman" w:hAnsi="Times New Roman" w:eastAsia="方正黑体简体" w:cs="Times New Roman"/>
                <w:b w:val="0"/>
                <w:bCs w:val="0"/>
                <w:color w:val="auto"/>
                <w:sz w:val="30"/>
                <w:szCs w:val="30"/>
                <w:highlight w:val="none"/>
                <w:lang w:val="en-US" w:bidi="ar-SA"/>
              </w:rPr>
              <w:t>：</w:t>
            </w:r>
            <w:r>
              <w:rPr>
                <w:rFonts w:hint="default" w:ascii="Times New Roman" w:hAnsi="Times New Roman" w:eastAsia="方正黑体简体" w:cs="Times New Roman"/>
                <w:b w:val="0"/>
                <w:bCs w:val="0"/>
                <w:color w:val="auto"/>
                <w:sz w:val="30"/>
                <w:szCs w:val="30"/>
                <w:highlight w:val="none"/>
                <w:lang w:val="en-US" w:eastAsia="zh-CN" w:bidi="ar-SA"/>
              </w:rPr>
              <w:t>“</w:t>
            </w:r>
            <w:r>
              <w:rPr>
                <w:rFonts w:hint="default" w:ascii="Times New Roman" w:hAnsi="Times New Roman" w:eastAsia="方正黑体简体" w:cs="Times New Roman"/>
                <w:b w:val="0"/>
                <w:bCs w:val="0"/>
                <w:color w:val="auto"/>
                <w:sz w:val="30"/>
                <w:szCs w:val="30"/>
                <w:highlight w:val="none"/>
                <w:lang w:val="en-US" w:bidi="ar-SA"/>
              </w:rPr>
              <w:t>十四五”重大农业项目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440" w:lineRule="exact"/>
              <w:ind w:left="0"/>
              <w:textAlignment w:val="auto"/>
              <w:rPr>
                <w:rFonts w:hint="default" w:ascii="Times New Roman" w:hAnsi="Times New Roman" w:eastAsia="仿宋_GB2312" w:cs="Times New Roman"/>
                <w:color w:val="auto"/>
                <w:kern w:val="2"/>
                <w:sz w:val="28"/>
                <w:szCs w:val="28"/>
                <w:highlight w:val="none"/>
                <w:lang w:eastAsia="zh-CN"/>
              </w:rPr>
            </w:pPr>
            <w:r>
              <w:rPr>
                <w:rFonts w:hint="default" w:ascii="Times New Roman" w:hAnsi="Times New Roman" w:eastAsia="仿宋_GB2312" w:cs="Times New Roman"/>
                <w:color w:val="auto"/>
                <w:kern w:val="2"/>
                <w:sz w:val="24"/>
                <w:szCs w:val="24"/>
                <w:highlight w:val="none"/>
              </w:rPr>
              <w:t>1、嵩县沟域经济建设项目；2、嵩县农业产业化集群培育项目；3、嵩县高标准农田建设项目；4、嵩县中药材种植基地建设项目；5、伏牛山食用菌基地建设项目；6、嵩县林下经济项目；7、河南嵩洋东佛利升奶绵羊科技产业园；8、嵩县蔬菜优质种苗繁育及生产基地建设项目；9、嵩县烟叶种植项目；10、</w:t>
            </w:r>
            <w:r>
              <w:rPr>
                <w:rFonts w:hint="default" w:ascii="Times New Roman" w:hAnsi="Times New Roman"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嵩上好礼”区域品牌农产品开发项目；11、嵩县桑蚕产业项目；12、嵩县肉牛、奶牛标准化规模养殖项目；13、嵩县生猪生态养殖项目；14、正大鑫</w:t>
            </w:r>
            <w:r>
              <w:rPr>
                <w:rFonts w:hint="default" w:ascii="Times New Roman" w:hAnsi="Times New Roman" w:eastAsia="仿宋_GB2312" w:cs="Times New Roman"/>
                <w:color w:val="auto"/>
                <w:sz w:val="24"/>
                <w:szCs w:val="24"/>
                <w:highlight w:val="none"/>
              </w:rPr>
              <w:t>豕海扩建项目；15、区域品牌农产品开发项目；16、皂刺改良项目</w:t>
            </w:r>
            <w:r>
              <w:rPr>
                <w:rFonts w:hint="default" w:ascii="Times New Roman" w:hAnsi="Times New Roman" w:eastAsia="仿宋_GB2312" w:cs="Times New Roman"/>
                <w:color w:val="auto"/>
                <w:sz w:val="24"/>
                <w:szCs w:val="24"/>
                <w:highlight w:val="none"/>
                <w:lang w:eastAsia="zh-CN"/>
              </w:rPr>
              <w:t>。</w:t>
            </w:r>
          </w:p>
        </w:tc>
      </w:tr>
    </w:tbl>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黑体" w:cs="Times New Roman"/>
          <w:b/>
          <w:color w:val="auto"/>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cs="Times New Roman"/>
          <w:color w:val="auto"/>
        </w:rPr>
      </w:pPr>
      <w:r>
        <w:rPr>
          <w:rFonts w:hint="default" w:ascii="Times New Roman" w:hAnsi="Times New Roman" w:eastAsia="黑体" w:cs="Times New Roman"/>
          <w:b/>
          <w:color w:val="auto"/>
          <w:kern w:val="0"/>
          <w:sz w:val="36"/>
          <w:szCs w:val="36"/>
          <w:lang w:val="en-US" w:eastAsia="zh-CN" w:bidi="ar"/>
        </w:rPr>
        <w:t>第七篇 推进新型城镇化，构筑城乡融合发展新格局</w:t>
      </w:r>
      <w:bookmarkEnd w:id="58"/>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建设美丽县城，壮大主城区龙头，加快城区设施更新，扩大城市承载力，提升城市生活品质，建设美丽城镇和美丽乡村，加强城乡统筹，构建</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以人为本</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的新型城镇化体系，全面推进新型城镇化建设。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59" w:name="_Toc11951"/>
      <w:r>
        <w:rPr>
          <w:rFonts w:hint="default" w:ascii="Times New Roman" w:hAnsi="Times New Roman" w:eastAsia="黑体" w:cs="Times New Roman"/>
          <w:color w:val="auto"/>
          <w:kern w:val="0"/>
          <w:sz w:val="32"/>
          <w:szCs w:val="32"/>
          <w:lang w:val="en-US" w:eastAsia="zh-CN" w:bidi="ar"/>
        </w:rPr>
        <w:t>第一章 优化城乡发展格局</w:t>
      </w:r>
      <w:bookmarkEnd w:id="59"/>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统筹考虑全县地形地势、区位交通、城镇分布、产业基础、资源禀赋，优化城乡功能分区，加快县城和重点特色村镇建设，构建城乡统筹、一体化发展格局。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60" w:name="_Toc4795"/>
      <w:r>
        <w:rPr>
          <w:rFonts w:hint="default" w:ascii="Times New Roman" w:hAnsi="Times New Roman" w:eastAsia="仿宋" w:cs="Times New Roman"/>
          <w:b/>
          <w:color w:val="auto"/>
          <w:kern w:val="0"/>
          <w:sz w:val="32"/>
          <w:szCs w:val="32"/>
          <w:lang w:val="en-US" w:eastAsia="zh-CN" w:bidi="ar"/>
        </w:rPr>
        <w:t>第一节 优化城乡空间发展结构</w:t>
      </w:r>
      <w:bookmarkEnd w:id="60"/>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规划</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一主一副，两带贯通，四区联动，特色发展</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的空间结构。</w:t>
      </w:r>
      <w:r>
        <w:rPr>
          <w:rFonts w:hint="default" w:ascii="Times New Roman" w:hAnsi="Times New Roman" w:eastAsia="仿宋_GB2312" w:cs="Times New Roman"/>
          <w:b/>
          <w:color w:val="auto"/>
          <w:kern w:val="0"/>
          <w:sz w:val="32"/>
          <w:szCs w:val="32"/>
          <w:lang w:val="en-US" w:eastAsia="zh-CN" w:bidi="ar"/>
        </w:rPr>
        <w:t>“一主”</w:t>
      </w:r>
      <w:r>
        <w:rPr>
          <w:rFonts w:hint="default" w:ascii="Times New Roman" w:hAnsi="Times New Roman" w:eastAsia="仿宋_GB2312" w:cs="Times New Roman"/>
          <w:color w:val="auto"/>
          <w:kern w:val="0"/>
          <w:sz w:val="32"/>
          <w:szCs w:val="32"/>
          <w:lang w:val="en-US" w:eastAsia="zh-CN" w:bidi="ar"/>
        </w:rPr>
        <w:t>即中心城区，包括城关镇、纸房镇、田湖镇、饭坡镇。</w:t>
      </w:r>
      <w:r>
        <w:rPr>
          <w:rFonts w:hint="default" w:ascii="Times New Roman" w:hAnsi="Times New Roman" w:eastAsia="仿宋_GB2312" w:cs="Times New Roman"/>
          <w:b/>
          <w:color w:val="auto"/>
          <w:kern w:val="0"/>
          <w:sz w:val="32"/>
          <w:szCs w:val="32"/>
          <w:lang w:val="en-US" w:eastAsia="zh-CN" w:bidi="ar"/>
        </w:rPr>
        <w:t>“一副”</w:t>
      </w:r>
      <w:r>
        <w:rPr>
          <w:rFonts w:hint="default" w:ascii="Times New Roman" w:hAnsi="Times New Roman" w:eastAsia="仿宋_GB2312" w:cs="Times New Roman"/>
          <w:color w:val="auto"/>
          <w:kern w:val="0"/>
          <w:sz w:val="32"/>
          <w:szCs w:val="32"/>
          <w:lang w:val="en-US" w:eastAsia="zh-CN" w:bidi="ar"/>
        </w:rPr>
        <w:t>即车村镇。围绕打造嵩南旅游集聚区定位，建设宜居宜业宜游的魅力名镇，成为带动嵩南经济和社会发展的龙头。</w:t>
      </w:r>
      <w:r>
        <w:rPr>
          <w:rFonts w:hint="default" w:ascii="Times New Roman" w:hAnsi="Times New Roman" w:eastAsia="仿宋_GB2312" w:cs="Times New Roman"/>
          <w:b/>
          <w:color w:val="auto"/>
          <w:kern w:val="0"/>
          <w:sz w:val="32"/>
          <w:szCs w:val="32"/>
          <w:lang w:val="en-US" w:eastAsia="zh-CN" w:bidi="ar"/>
        </w:rPr>
        <w:t>“两带贯通”</w:t>
      </w:r>
      <w:r>
        <w:rPr>
          <w:rFonts w:hint="default" w:ascii="Times New Roman" w:hAnsi="Times New Roman" w:eastAsia="仿宋_GB2312" w:cs="Times New Roman"/>
          <w:color w:val="auto"/>
          <w:kern w:val="0"/>
          <w:sz w:val="32"/>
          <w:szCs w:val="32"/>
          <w:lang w:val="en-US" w:eastAsia="zh-CN" w:bidi="ar"/>
        </w:rPr>
        <w:t xml:space="preserve">即沿国道 </w:t>
      </w:r>
      <w:r>
        <w:rPr>
          <w:rFonts w:hint="default" w:ascii="Times New Roman" w:hAnsi="Times New Roman" w:eastAsia="宋体" w:cs="Times New Roman"/>
          <w:color w:val="auto"/>
          <w:kern w:val="0"/>
          <w:sz w:val="32"/>
          <w:szCs w:val="32"/>
          <w:lang w:val="en-US" w:eastAsia="zh-CN" w:bidi="ar"/>
        </w:rPr>
        <w:t>344</w:t>
      </w:r>
      <w:r>
        <w:rPr>
          <w:rFonts w:hint="default" w:ascii="Times New Roman" w:hAnsi="Times New Roman" w:eastAsia="仿宋_GB2312" w:cs="Times New Roman"/>
          <w:color w:val="auto"/>
          <w:kern w:val="0"/>
          <w:sz w:val="32"/>
          <w:szCs w:val="32"/>
          <w:lang w:val="en-US" w:eastAsia="zh-CN" w:bidi="ar"/>
        </w:rPr>
        <w:t xml:space="preserve">、省道 </w:t>
      </w:r>
      <w:r>
        <w:rPr>
          <w:rFonts w:hint="default" w:ascii="Times New Roman" w:hAnsi="Times New Roman" w:eastAsia="宋体" w:cs="Times New Roman"/>
          <w:color w:val="auto"/>
          <w:kern w:val="0"/>
          <w:sz w:val="32"/>
          <w:szCs w:val="32"/>
          <w:lang w:val="en-US" w:eastAsia="zh-CN" w:bidi="ar"/>
        </w:rPr>
        <w:t>243</w:t>
      </w:r>
      <w:r>
        <w:rPr>
          <w:rFonts w:hint="default" w:ascii="Times New Roman" w:hAnsi="Times New Roman" w:eastAsia="仿宋_GB2312" w:cs="Times New Roman"/>
          <w:color w:val="auto"/>
          <w:kern w:val="0"/>
          <w:sz w:val="32"/>
          <w:szCs w:val="32"/>
          <w:lang w:val="en-US" w:eastAsia="zh-CN" w:bidi="ar"/>
        </w:rPr>
        <w:t xml:space="preserve">、伊河水系和洛栾高速构建横贯嵩北的综合发展带，沿国道 </w:t>
      </w:r>
      <w:r>
        <w:rPr>
          <w:rFonts w:hint="default" w:ascii="Times New Roman" w:hAnsi="Times New Roman" w:eastAsia="宋体" w:cs="Times New Roman"/>
          <w:color w:val="auto"/>
          <w:kern w:val="0"/>
          <w:sz w:val="32"/>
          <w:szCs w:val="32"/>
          <w:lang w:val="en-US" w:eastAsia="zh-CN" w:bidi="ar"/>
        </w:rPr>
        <w:t xml:space="preserve">208 </w:t>
      </w:r>
      <w:r>
        <w:rPr>
          <w:rFonts w:hint="default" w:ascii="Times New Roman" w:hAnsi="Times New Roman" w:eastAsia="仿宋_GB2312" w:cs="Times New Roman"/>
          <w:color w:val="auto"/>
          <w:kern w:val="0"/>
          <w:sz w:val="32"/>
          <w:szCs w:val="32"/>
          <w:lang w:val="en-US" w:eastAsia="zh-CN" w:bidi="ar"/>
        </w:rPr>
        <w:t>构建纵向生态旅游发展带。</w:t>
      </w:r>
      <w:r>
        <w:rPr>
          <w:rFonts w:hint="default" w:ascii="Times New Roman" w:hAnsi="Times New Roman" w:eastAsia="仿宋_GB2312" w:cs="Times New Roman"/>
          <w:b/>
          <w:color w:val="auto"/>
          <w:kern w:val="0"/>
          <w:sz w:val="32"/>
          <w:szCs w:val="32"/>
          <w:lang w:val="en-US" w:eastAsia="zh-CN" w:bidi="ar"/>
        </w:rPr>
        <w:t>“四区”</w:t>
      </w:r>
      <w:r>
        <w:rPr>
          <w:rFonts w:hint="default" w:ascii="Times New Roman" w:hAnsi="Times New Roman" w:eastAsia="仿宋_GB2312" w:cs="Times New Roman"/>
          <w:color w:val="auto"/>
          <w:kern w:val="0"/>
          <w:sz w:val="32"/>
          <w:szCs w:val="32"/>
          <w:lang w:val="en-US" w:eastAsia="zh-CN" w:bidi="ar"/>
        </w:rPr>
        <w:t xml:space="preserve">即以中心城区、何村乡、陆浑镇为中心的城镇重点发展区，北部以大坪乡、闫庄镇和九皋镇为主体的现代农业发展区，西北以德亭镇、大章镇和旧县镇为主体的矿山修复发展区，南部以车村镇、白河镇、木植街乡、黄庄乡为主体的生态旅游发展区，各片区互为依托，错位发展，共同构建嵩县生产、生活、生态建设格局。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61" w:name="_Toc8753"/>
      <w:r>
        <w:rPr>
          <w:rFonts w:hint="default" w:ascii="Times New Roman" w:hAnsi="Times New Roman" w:eastAsia="仿宋" w:cs="Times New Roman"/>
          <w:b/>
          <w:color w:val="auto"/>
          <w:kern w:val="0"/>
          <w:sz w:val="32"/>
          <w:szCs w:val="32"/>
          <w:lang w:val="en-US" w:eastAsia="zh-CN" w:bidi="ar"/>
        </w:rPr>
        <w:t>第二节 建设美丽县城</w:t>
      </w:r>
      <w:bookmarkEnd w:id="61"/>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提升县城综合服务功能。按照建设现代化城市的标准，综合提升县城服务功能。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加强县城基础设施建设。</w:t>
      </w:r>
      <w:r>
        <w:rPr>
          <w:rFonts w:hint="default" w:ascii="Times New Roman" w:hAnsi="Times New Roman" w:eastAsia="仿宋_GB2312" w:cs="Times New Roman"/>
          <w:color w:val="auto"/>
          <w:kern w:val="0"/>
          <w:sz w:val="32"/>
          <w:szCs w:val="32"/>
          <w:lang w:val="en-US" w:eastAsia="zh-CN" w:bidi="ar"/>
        </w:rPr>
        <w:t xml:space="preserve">统筹推进新区开发和老城区改造，全面提升城市综合承载能力。强化城市设计管控，加快快速路网体系、智慧网络、供水网络、供电体系和生态体系建设，打造集约高效、经济适用、智能绿色、推广装配式建筑、安全可靠的现代化基础设施体系，不断增强对经济和人口的承载能力。突出重大基础设施建设，大力推进水、电、气、暖、通信、固废和污水处理设施现代化，全面推进综合管廊技术和设施覆盖，不断提高城市防洪排涝处污能力。加快推进城市百兆宽带普及和千兆城市建设，加快 </w:t>
      </w:r>
      <w:r>
        <w:rPr>
          <w:rFonts w:hint="default" w:ascii="Times New Roman" w:hAnsi="Times New Roman" w:eastAsia="宋体" w:cs="Times New Roman"/>
          <w:color w:val="auto"/>
          <w:kern w:val="0"/>
          <w:sz w:val="32"/>
          <w:szCs w:val="32"/>
          <w:lang w:val="en-US" w:eastAsia="zh-CN" w:bidi="ar"/>
        </w:rPr>
        <w:t xml:space="preserve">5G </w:t>
      </w:r>
      <w:r>
        <w:rPr>
          <w:rFonts w:hint="default" w:ascii="Times New Roman" w:hAnsi="Times New Roman" w:eastAsia="仿宋_GB2312" w:cs="Times New Roman"/>
          <w:color w:val="auto"/>
          <w:kern w:val="0"/>
          <w:sz w:val="32"/>
          <w:szCs w:val="32"/>
          <w:lang w:val="en-US" w:eastAsia="zh-CN" w:bidi="ar"/>
        </w:rPr>
        <w:t xml:space="preserve">网络部署。积极推进中国联通 </w:t>
      </w:r>
      <w:r>
        <w:rPr>
          <w:rFonts w:hint="default" w:ascii="Times New Roman" w:hAnsi="Times New Roman" w:eastAsia="宋体" w:cs="Times New Roman"/>
          <w:color w:val="auto"/>
          <w:kern w:val="0"/>
          <w:sz w:val="32"/>
          <w:szCs w:val="32"/>
          <w:lang w:val="en-US" w:eastAsia="zh-CN" w:bidi="ar"/>
        </w:rPr>
        <w:t xml:space="preserve">5G </w:t>
      </w:r>
      <w:r>
        <w:rPr>
          <w:rFonts w:hint="default" w:ascii="Times New Roman" w:hAnsi="Times New Roman" w:eastAsia="仿宋_GB2312" w:cs="Times New Roman"/>
          <w:color w:val="auto"/>
          <w:kern w:val="0"/>
          <w:sz w:val="32"/>
          <w:szCs w:val="32"/>
          <w:lang w:val="en-US" w:eastAsia="zh-CN" w:bidi="ar"/>
        </w:rPr>
        <w:t xml:space="preserve">区域级网络云中心、中国移动 </w:t>
      </w:r>
      <w:r>
        <w:rPr>
          <w:rFonts w:hint="default" w:ascii="Times New Roman" w:hAnsi="Times New Roman" w:eastAsia="宋体" w:cs="Times New Roman"/>
          <w:color w:val="auto"/>
          <w:kern w:val="0"/>
          <w:sz w:val="32"/>
          <w:szCs w:val="32"/>
          <w:lang w:val="en-US" w:eastAsia="zh-CN" w:bidi="ar"/>
        </w:rPr>
        <w:t xml:space="preserve">5G </w:t>
      </w:r>
      <w:r>
        <w:rPr>
          <w:rFonts w:hint="default" w:ascii="Times New Roman" w:hAnsi="Times New Roman" w:eastAsia="仿宋_GB2312" w:cs="Times New Roman"/>
          <w:color w:val="auto"/>
          <w:kern w:val="0"/>
          <w:sz w:val="32"/>
          <w:szCs w:val="32"/>
          <w:lang w:val="en-US" w:eastAsia="zh-CN" w:bidi="ar"/>
        </w:rPr>
        <w:t>核心网等一批重要信息网络基础项目建设。</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适度扩大县城人口规模。</w:t>
      </w:r>
      <w:r>
        <w:rPr>
          <w:rFonts w:hint="default" w:ascii="Times New Roman" w:hAnsi="Times New Roman" w:eastAsia="仿宋_GB2312" w:cs="Times New Roman"/>
          <w:color w:val="auto"/>
          <w:kern w:val="0"/>
          <w:sz w:val="32"/>
          <w:szCs w:val="32"/>
          <w:lang w:val="en-US" w:eastAsia="zh-CN" w:bidi="ar"/>
        </w:rPr>
        <w:t xml:space="preserve">抢抓国家新一轮产业转移机遇，紧盯先进地区产业外溢市场，大量承接先进制造业和现代服务业，以产业的增量带动人口增长。加快商业休闲、体育运动、文化娱乐、医疗教育服务、住宅产品体系等，实现多业态多品类全龄覆盖，通过提供高质量就业机会变流动人口为常住人口。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建设智慧城市。</w:t>
      </w:r>
      <w:r>
        <w:rPr>
          <w:rFonts w:hint="default" w:ascii="Times New Roman" w:hAnsi="Times New Roman" w:eastAsia="仿宋_GB2312" w:cs="Times New Roman"/>
          <w:color w:val="auto"/>
          <w:kern w:val="0"/>
          <w:sz w:val="32"/>
          <w:szCs w:val="32"/>
          <w:lang w:val="en-US" w:eastAsia="zh-CN" w:bidi="ar"/>
        </w:rPr>
        <w:t xml:space="preserve">依托 </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、人工智能、智慧停车场、互联网、大数据深化城市智慧化服务集成应用，实现城市智慧式管理和运行，为城市居民创造更美好的生活。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建设人文城市。</w:t>
      </w:r>
      <w:r>
        <w:rPr>
          <w:rFonts w:hint="default" w:ascii="Times New Roman" w:hAnsi="Times New Roman" w:eastAsia="仿宋_GB2312" w:cs="Times New Roman"/>
          <w:color w:val="auto"/>
          <w:kern w:val="0"/>
          <w:sz w:val="32"/>
          <w:szCs w:val="32"/>
          <w:lang w:val="en-US" w:eastAsia="zh-CN" w:bidi="ar"/>
        </w:rPr>
        <w:t xml:space="preserve">挖掘历史文化元素，建设博物馆、文化馆和群众文化活动中心，把文化融入城市建设、节庆活动，促进城市的和谐、可持续成长。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建设韧性城市。</w:t>
      </w:r>
      <w:r>
        <w:rPr>
          <w:rFonts w:hint="default" w:ascii="Times New Roman" w:hAnsi="Times New Roman" w:eastAsia="仿宋_GB2312" w:cs="Times New Roman"/>
          <w:color w:val="auto"/>
          <w:kern w:val="0"/>
          <w:sz w:val="32"/>
          <w:szCs w:val="32"/>
          <w:lang w:val="en-US" w:eastAsia="zh-CN" w:bidi="ar"/>
        </w:rPr>
        <w:t xml:space="preserve">积极推进海绵城市、综合管廊、城市绿廊、地下空间等细分领域建设，完善消防、防洪、防涝、防疫、抗震等防灾减灾设施，做好公众应急预案宣导，定期组织城市应急演练，战防结合，提升救援救助能力。加强城市精细化、全周期管理，常态长效推进序化、洁化、绿化、亮化，让中心城区环境更整洁、更有序、更舒适、更愉悦。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高标准推进城市精细化管理。</w:t>
      </w:r>
      <w:r>
        <w:rPr>
          <w:rFonts w:hint="default" w:ascii="Times New Roman" w:hAnsi="Times New Roman" w:eastAsia="仿宋_GB2312" w:cs="Times New Roman"/>
          <w:color w:val="auto"/>
          <w:kern w:val="0"/>
          <w:sz w:val="32"/>
          <w:szCs w:val="32"/>
          <w:lang w:val="en-US" w:eastAsia="zh-CN" w:bidi="ar"/>
        </w:rPr>
        <w:t xml:space="preserve">持续开展“城市管理提升、提质年”活动，加强城市精细化管理，大大加快城市化进程。不断扩大机械化作业覆盖面，全面提升作业质量。深入推进垃圾分类，实现垃圾分类无害化处理。加强城市管理人员队伍培训，提高综合执法和管理水准，提升街道管理水平。持续改善公园、公厕、人行道、停车场等城市公共设施，不断增强人民群众的获得感、幸福感。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62" w:name="_Toc3178"/>
      <w:r>
        <w:rPr>
          <w:rFonts w:hint="default" w:ascii="Times New Roman" w:hAnsi="Times New Roman" w:eastAsia="仿宋" w:cs="Times New Roman"/>
          <w:b/>
          <w:color w:val="auto"/>
          <w:kern w:val="0"/>
          <w:sz w:val="32"/>
          <w:szCs w:val="32"/>
          <w:lang w:val="en-US" w:eastAsia="zh-CN" w:bidi="ar"/>
        </w:rPr>
        <w:t>第三节 建设美丽城镇</w:t>
      </w:r>
      <w:bookmarkEnd w:id="62"/>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按照建设国家级经济发达镇和“特色旅游镇”目标建设副中心城镇车村镇，重点培育餐饮、住宿、休闲、游乐、购物、信息服务等产业，打造集休闲、康养、购物、游客集散于一体的城镇发展综合体。按照一乡（镇）一业原则打造特色城镇，重点培育城关商贸物流镇、田湖理学工贸镇、车村旅游康养镇、纸房伊尹文化镇、白河银杏镇、九皋皂刺镇、黄庄手绘小镇、德亭天池镇、大章黄金镇等16个特色小（城）镇。到2025年全县形成2-3 个镇区人口超3万人的重点镇，力争形成1个镇区人口超5万人的特大镇。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63" w:name="_Toc24988"/>
      <w:r>
        <w:rPr>
          <w:rFonts w:hint="default" w:ascii="Times New Roman" w:hAnsi="Times New Roman" w:eastAsia="仿宋" w:cs="Times New Roman"/>
          <w:b/>
          <w:color w:val="auto"/>
          <w:kern w:val="0"/>
          <w:sz w:val="32"/>
          <w:szCs w:val="32"/>
          <w:lang w:val="en-US" w:eastAsia="zh-CN" w:bidi="ar"/>
        </w:rPr>
        <w:t>第四节 建设美丽乡村</w:t>
      </w:r>
      <w:bookmarkEnd w:id="63"/>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以全域美丽乡村示范县创建活动为载体，以“</w:t>
      </w:r>
      <w:r>
        <w:rPr>
          <w:rFonts w:hint="default" w:ascii="Times New Roman" w:hAnsi="Times New Roman" w:eastAsia="宋体" w:cs="Times New Roman"/>
          <w:color w:val="auto"/>
          <w:kern w:val="0"/>
          <w:sz w:val="32"/>
          <w:szCs w:val="32"/>
          <w:lang w:val="en-US" w:eastAsia="zh-CN" w:bidi="ar"/>
        </w:rPr>
        <w:t xml:space="preserve">572510 </w:t>
      </w:r>
      <w:r>
        <w:rPr>
          <w:rFonts w:hint="default" w:ascii="Times New Roman" w:hAnsi="Times New Roman" w:eastAsia="仿宋_GB2312" w:cs="Times New Roman"/>
          <w:color w:val="auto"/>
          <w:kern w:val="0"/>
          <w:sz w:val="32"/>
          <w:szCs w:val="32"/>
          <w:lang w:val="en-US" w:eastAsia="zh-CN" w:bidi="ar"/>
        </w:rPr>
        <w:t>工程”为抓手，坚持把乡村建设与城镇提升、产业培育、旅游发展、农民增收、民生改善和生态保护紧密结合起来，按照科学规划布局美、村容整洁环境美、创业增收生活美、乡风文明身心美的目标要求，加快县域美丽乡村建设：每年打造</w:t>
      </w:r>
      <w:r>
        <w:rPr>
          <w:rFonts w:hint="default" w:ascii="Times New Roman" w:hAnsi="Times New Roman" w:eastAsia="宋体"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个特色乡镇，三年覆盖全县</w:t>
      </w:r>
      <w:r>
        <w:rPr>
          <w:rFonts w:hint="default" w:ascii="Times New Roman" w:hAnsi="Times New Roman" w:eastAsia="宋体" w:cs="Times New Roman"/>
          <w:color w:val="auto"/>
          <w:kern w:val="0"/>
          <w:sz w:val="32"/>
          <w:szCs w:val="32"/>
          <w:lang w:val="en-US" w:eastAsia="zh-CN" w:bidi="ar"/>
        </w:rPr>
        <w:t>16</w:t>
      </w:r>
      <w:r>
        <w:rPr>
          <w:rFonts w:hint="default" w:ascii="Times New Roman" w:hAnsi="Times New Roman" w:eastAsia="仿宋_GB2312" w:cs="Times New Roman"/>
          <w:color w:val="auto"/>
          <w:kern w:val="0"/>
          <w:sz w:val="32"/>
          <w:szCs w:val="32"/>
          <w:lang w:val="en-US" w:eastAsia="zh-CN" w:bidi="ar"/>
        </w:rPr>
        <w:t>个乡镇；提升</w:t>
      </w:r>
      <w:r>
        <w:rPr>
          <w:rFonts w:hint="default" w:ascii="Times New Roman" w:hAnsi="Times New Roman" w:eastAsia="宋体" w:cs="Times New Roman"/>
          <w:color w:val="auto"/>
          <w:kern w:val="0"/>
          <w:sz w:val="32"/>
          <w:szCs w:val="32"/>
          <w:lang w:val="en-US" w:eastAsia="zh-CN" w:bidi="ar"/>
        </w:rPr>
        <w:t>7</w:t>
      </w:r>
      <w:r>
        <w:rPr>
          <w:rFonts w:hint="default" w:ascii="Times New Roman" w:hAnsi="Times New Roman" w:eastAsia="仿宋_GB2312" w:cs="Times New Roman"/>
          <w:color w:val="auto"/>
          <w:kern w:val="0"/>
          <w:sz w:val="32"/>
          <w:szCs w:val="32"/>
          <w:lang w:val="en-US" w:eastAsia="zh-CN" w:bidi="ar"/>
        </w:rPr>
        <w:t>条精品线路；围绕</w:t>
      </w:r>
      <w:r>
        <w:rPr>
          <w:rFonts w:hint="default" w:ascii="Times New Roman" w:hAnsi="Times New Roman" w:eastAsia="宋体" w:cs="Times New Roman"/>
          <w:color w:val="auto"/>
          <w:kern w:val="0"/>
          <w:sz w:val="32"/>
          <w:szCs w:val="32"/>
          <w:lang w:val="en-US" w:eastAsia="zh-CN" w:bidi="ar"/>
        </w:rPr>
        <w:t>7</w:t>
      </w:r>
      <w:r>
        <w:rPr>
          <w:rFonts w:hint="default" w:ascii="Times New Roman" w:hAnsi="Times New Roman" w:eastAsia="仿宋_GB2312" w:cs="Times New Roman"/>
          <w:color w:val="auto"/>
          <w:kern w:val="0"/>
          <w:sz w:val="32"/>
          <w:szCs w:val="32"/>
          <w:lang w:val="en-US" w:eastAsia="zh-CN" w:bidi="ar"/>
        </w:rPr>
        <w:t>条精品线路，按照“</w:t>
      </w:r>
      <w:r>
        <w:rPr>
          <w:rFonts w:hint="default" w:ascii="Times New Roman" w:hAnsi="Times New Roman" w:eastAsia="宋体" w:cs="Times New Roman"/>
          <w:color w:val="auto"/>
          <w:kern w:val="0"/>
          <w:sz w:val="32"/>
          <w:szCs w:val="32"/>
          <w:lang w:val="en-US" w:eastAsia="zh-CN" w:bidi="ar"/>
        </w:rPr>
        <w:t>1+X</w:t>
      </w:r>
      <w:r>
        <w:rPr>
          <w:rFonts w:hint="default" w:ascii="Times New Roman" w:hAnsi="Times New Roman" w:eastAsia="仿宋_GB2312" w:cs="Times New Roman"/>
          <w:color w:val="auto"/>
          <w:kern w:val="0"/>
          <w:sz w:val="32"/>
          <w:szCs w:val="32"/>
          <w:lang w:val="en-US" w:eastAsia="zh-CN" w:bidi="ar"/>
        </w:rPr>
        <w:t>”村镇布局（即一个中心镇辐射若干个示范村），建设</w:t>
      </w:r>
      <w:r>
        <w:rPr>
          <w:rFonts w:hint="default" w:ascii="Times New Roman" w:hAnsi="Times New Roman" w:eastAsia="宋体" w:cs="Times New Roman"/>
          <w:color w:val="auto"/>
          <w:kern w:val="0"/>
          <w:sz w:val="32"/>
          <w:szCs w:val="32"/>
          <w:lang w:val="en-US" w:eastAsia="zh-CN" w:bidi="ar"/>
        </w:rPr>
        <w:t>25</w:t>
      </w:r>
      <w:r>
        <w:rPr>
          <w:rFonts w:hint="default" w:ascii="Times New Roman" w:hAnsi="Times New Roman" w:eastAsia="仿宋_GB2312" w:cs="Times New Roman"/>
          <w:color w:val="auto"/>
          <w:kern w:val="0"/>
          <w:sz w:val="32"/>
          <w:szCs w:val="32"/>
          <w:lang w:val="en-US" w:eastAsia="zh-CN" w:bidi="ar"/>
        </w:rPr>
        <w:t>个美丽乡村示范村；创建</w:t>
      </w:r>
      <w:r>
        <w:rPr>
          <w:rFonts w:hint="default" w:ascii="Times New Roman" w:hAnsi="Times New Roman" w:eastAsia="宋体"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val="en-US" w:eastAsia="zh-CN" w:bidi="ar"/>
        </w:rPr>
        <w:t>条沟域经济示范带。做到以点穿 线、以线带面、稳步推进，利用</w:t>
      </w:r>
      <w:r>
        <w:rPr>
          <w:rFonts w:hint="default" w:ascii="Times New Roman" w:hAnsi="Times New Roman" w:eastAsia="宋体"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年时间，把</w:t>
      </w:r>
      <w:r>
        <w:rPr>
          <w:rFonts w:hint="default" w:ascii="Times New Roman" w:hAnsi="Times New Roman" w:eastAsia="宋体" w:cs="Times New Roman"/>
          <w:color w:val="auto"/>
          <w:kern w:val="0"/>
          <w:sz w:val="32"/>
          <w:szCs w:val="32"/>
          <w:lang w:val="en-US" w:eastAsia="zh-CN" w:bidi="ar"/>
        </w:rPr>
        <w:t>16</w:t>
      </w:r>
      <w:r>
        <w:rPr>
          <w:rFonts w:hint="default" w:ascii="Times New Roman" w:hAnsi="Times New Roman" w:eastAsia="仿宋_GB2312" w:cs="Times New Roman"/>
          <w:color w:val="auto"/>
          <w:kern w:val="0"/>
          <w:sz w:val="32"/>
          <w:szCs w:val="32"/>
          <w:lang w:val="en-US" w:eastAsia="zh-CN" w:bidi="ar"/>
        </w:rPr>
        <w:t xml:space="preserve">个乡镇打造成特色产业明显、生态环境优良、百姓生活和美的风情镇集群，切实形成县、镇、村三级互动、和谐发展的新农村建设格局，着力深化美丽乡村品牌发展内涵，吸引更多的游客来嵩、游嵩、说嵩，全面建设“宜居、宜业、宜游”的美丽嵩县。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因地制宜编制镇村发展规划。</w:t>
      </w:r>
      <w:r>
        <w:rPr>
          <w:rFonts w:hint="default" w:ascii="Times New Roman" w:hAnsi="Times New Roman" w:eastAsia="仿宋_GB2312" w:cs="Times New Roman"/>
          <w:color w:val="auto"/>
          <w:kern w:val="0"/>
          <w:sz w:val="32"/>
          <w:szCs w:val="32"/>
          <w:lang w:val="en-US" w:eastAsia="zh-CN" w:bidi="ar"/>
        </w:rPr>
        <w:t xml:space="preserve">在编制全县规划的同时，立足各自发展特色，因地制宜编制乡镇和村级乡村振兴战略规划，对乡镇、行政村的产业、村居、土地、基础设施、公共服务设施和生态环境等发展保障要素进行系统统一规划，实现“多规合一”，因地制宜确定村庄布局和规模。合理安排农村生产、生活和生态用地公共基础设施优先向拓展提升类、特色保护类村庄布局，建设功能齐全的中心村，引导“空心村”人口向乡镇所在地、产业发展集聚区、中心村集聚。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楷体" w:cs="Times New Roman"/>
          <w:b/>
          <w:color w:val="auto"/>
          <w:kern w:val="0"/>
          <w:sz w:val="32"/>
          <w:szCs w:val="32"/>
          <w:lang w:val="en-US" w:eastAsia="zh-CN" w:bidi="ar"/>
        </w:rPr>
        <w:t>加强农村基础设施建设。</w:t>
      </w:r>
      <w:r>
        <w:rPr>
          <w:rFonts w:hint="default" w:ascii="Times New Roman" w:hAnsi="Times New Roman" w:eastAsia="仿宋_GB2312" w:cs="Times New Roman"/>
          <w:color w:val="auto"/>
          <w:kern w:val="0"/>
          <w:sz w:val="32"/>
          <w:szCs w:val="32"/>
          <w:lang w:val="en-US" w:eastAsia="zh-CN" w:bidi="ar"/>
        </w:rPr>
        <w:t>大力实施“四好农村路”建设。加快实施通村组道路建设，到</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年实现农村通组道路全硬化，行政村通班车、通快递物流；实施农村饮水安全巩固提升行动。全面巩固提升农村安全饮水，农村集中供水率达到</w:t>
      </w:r>
      <w:r>
        <w:rPr>
          <w:rFonts w:hint="default" w:ascii="Times New Roman" w:hAnsi="Times New Roman" w:eastAsia="宋体" w:cs="Times New Roman"/>
          <w:color w:val="auto"/>
          <w:kern w:val="0"/>
          <w:sz w:val="32"/>
          <w:szCs w:val="32"/>
          <w:lang w:val="en-US" w:eastAsia="zh-CN" w:bidi="ar"/>
        </w:rPr>
        <w:t>92%</w:t>
      </w:r>
      <w:r>
        <w:rPr>
          <w:rFonts w:hint="default" w:ascii="Times New Roman" w:hAnsi="Times New Roman" w:eastAsia="仿宋_GB2312" w:cs="Times New Roman"/>
          <w:color w:val="auto"/>
          <w:kern w:val="0"/>
          <w:sz w:val="32"/>
          <w:szCs w:val="32"/>
          <w:lang w:val="en-US" w:eastAsia="zh-CN" w:bidi="ar"/>
        </w:rPr>
        <w:t>；加快新一轮农村电网改造升级；加快农村信息化基础设施建设。推进农村地区</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网络建设，满足农村远程医疗、远程教育、广播电视、数字乡村战略需求；着力推动城乡基础设施互联互通。做好整体规划设计，加快推进城乡交通、电力、供水、供气、环保、物流、信息、广播电视等公共服务设施一体化。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64" w:name="_Toc19807"/>
      <w:r>
        <w:rPr>
          <w:rFonts w:hint="default" w:ascii="Times New Roman" w:hAnsi="Times New Roman" w:eastAsia="仿宋" w:cs="Times New Roman"/>
          <w:b/>
          <w:color w:val="auto"/>
          <w:kern w:val="0"/>
          <w:sz w:val="32"/>
          <w:szCs w:val="32"/>
          <w:lang w:val="en-US" w:eastAsia="zh-CN" w:bidi="ar"/>
        </w:rPr>
        <w:t>第五节 建设城乡融合发展示范区</w:t>
      </w:r>
      <w:bookmarkEnd w:id="64"/>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以县城和陆浑湖为中心，按照“一心两核五区”布局打造城乡融合发展示范区。“一心”：指沿陆浑湖生态蓝心，包括陆浑湖面及环陆浑生态廊道。“两核”：即以南部城关为主体的发展带动核和北部田湖</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饭坡</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陆浑发展带动核。“五区”：即环陆浑休闲度假区、田湖大健康产业区、饭坡循环经济产业区、中心城区县域综合服务区、外围特色农林休闲区。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65" w:name="_Toc4923"/>
      <w:r>
        <w:rPr>
          <w:rFonts w:hint="default" w:ascii="Times New Roman" w:hAnsi="Times New Roman" w:eastAsia="黑体" w:cs="Times New Roman"/>
          <w:color w:val="auto"/>
          <w:kern w:val="0"/>
          <w:sz w:val="32"/>
          <w:szCs w:val="32"/>
          <w:lang w:val="en-US" w:eastAsia="zh-CN" w:bidi="ar"/>
        </w:rPr>
        <w:t>第二章 推进以人为核心的新型城镇化</w:t>
      </w:r>
      <w:bookmarkEnd w:id="65"/>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坚持以人为本，以提升农业转移人口市民化质量为重点，实现农民带资产进城，保障基本公共服务，加快农业转移人口融入城市。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66" w:name="_Toc1193"/>
      <w:r>
        <w:rPr>
          <w:rFonts w:hint="default" w:ascii="Times New Roman" w:hAnsi="Times New Roman" w:eastAsia="仿宋" w:cs="Times New Roman"/>
          <w:b/>
          <w:color w:val="auto"/>
          <w:kern w:val="0"/>
          <w:sz w:val="32"/>
          <w:szCs w:val="32"/>
          <w:lang w:val="en-US" w:eastAsia="zh-CN" w:bidi="ar"/>
        </w:rPr>
        <w:t>第一节 推动农民带资产进城</w:t>
      </w:r>
      <w:bookmarkEnd w:id="66"/>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完善财政转移支付和城镇新增建设用地规模与农业转移人口市民化挂钩政策。实现农民带资产进城，加快农业转移人口市民化。提高嵩县城区治理水平，加强城市治理中的风险防控，完善土地出让收入分配机制。因城施策，促进嵩县房地产市场平稳健康发展。坚持房子是用来住的、不是用来炒的定位，探索支持利用集体建设用地按照规划建设租赁住房，扩大保障性住房供给。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67" w:name="_Toc3085"/>
      <w:r>
        <w:rPr>
          <w:rFonts w:hint="default" w:ascii="Times New Roman" w:hAnsi="Times New Roman" w:eastAsia="仿宋" w:cs="Times New Roman"/>
          <w:b/>
          <w:color w:val="auto"/>
          <w:kern w:val="0"/>
          <w:sz w:val="32"/>
          <w:szCs w:val="32"/>
          <w:lang w:val="en-US" w:eastAsia="zh-CN" w:bidi="ar"/>
        </w:rPr>
        <w:t>第二节 保障常住人口基本公共服务</w:t>
      </w:r>
      <w:bookmarkEnd w:id="67"/>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强化城镇常住人口基本公共服务保障，让外来常住人口人享有充分的就业权、创业权、受教育权，在嵩县获得永续的生存与发展能力；培养外来人口现代市民意识，养成健康的城镇生活方式，全面融入城市生活，实现安居梦、创业梦、市民梦，在人的全面发展过程中实现城镇的全面发展和提升。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ageBreakBefore w:val="0"/>
              <w:widowControl w:val="0"/>
              <w:kinsoku/>
              <w:wordWrap/>
              <w:autoSpaceDE w:val="0"/>
              <w:autoSpaceDN w:val="0"/>
              <w:bidi w:val="0"/>
              <w:adjustRightInd w:val="0"/>
              <w:spacing w:beforeAutospacing="0" w:afterAutospacing="0" w:line="580" w:lineRule="exact"/>
              <w:ind w:left="0"/>
              <w:jc w:val="center"/>
              <w:rPr>
                <w:rFonts w:hint="default" w:ascii="Times New Roman" w:hAnsi="Times New Roman" w:eastAsia="仿宋_GB2312" w:cs="Times New Roman"/>
                <w:color w:val="auto"/>
                <w:sz w:val="32"/>
                <w:szCs w:val="24"/>
                <w:highlight w:val="none"/>
                <w:lang w:val="en-US" w:eastAsia="zh-CN" w:bidi="ar-SA"/>
              </w:rPr>
            </w:pPr>
            <w:r>
              <w:rPr>
                <w:rFonts w:hint="default" w:ascii="Times New Roman" w:hAnsi="Times New Roman" w:eastAsia="方正黑体简体" w:cs="Times New Roman"/>
                <w:color w:val="auto"/>
                <w:sz w:val="30"/>
                <w:szCs w:val="30"/>
                <w:highlight w:val="none"/>
                <w:lang w:val="en-US" w:eastAsia="zh-CN" w:bidi="ar-SA"/>
              </w:rPr>
              <w:t>专栏11：“十四五”城镇基础设施项目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val="0"/>
              <w:snapToGrid/>
              <w:spacing w:beforeAutospacing="0" w:afterAutospacing="0" w:line="440" w:lineRule="exact"/>
              <w:ind w:left="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一、城镇基础设施建设项目：</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440" w:lineRule="exact"/>
              <w:ind w:left="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嵩县城区综合提升项目；2、嵩县伊东城市综合体建设项目；3、嵩县特色城镇建设项目；4、嵩县车村镇副中心城镇建设项目；5、嵩县老旧小区改造项目；6、嵩县城区道路提升项目；7、嵩县城区排水防涝设施建设项目；8、嵩县城区供热项目；9、嵩县城区居民小区建设项目。</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440" w:lineRule="exact"/>
              <w:ind w:left="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二、城郊休闲公园建设项目：</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440" w:lineRule="exact"/>
              <w:ind w:left="0"/>
              <w:textAlignment w:val="auto"/>
              <w:rPr>
                <w:rFonts w:hint="default" w:ascii="Times New Roman" w:hAnsi="Times New Roman" w:eastAsia="仿宋_GB2312" w:cs="Times New Roman"/>
                <w:color w:val="auto"/>
                <w:sz w:val="32"/>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嵩县叠翠山森林康养公园建设项目；2、嵩县城区公园提升项目；3、嵩县陆浑湿地公园提升项目；4、嵩县三涂山文化公园建设项目；5、嵩县玉泉山植物园项目；6、嵩县玉皇山城郊森林公园建设项目；7、嵩县凤凰山摄影基地项目；8、嵩县马驹岭农耕园建设项目；9、</w:t>
            </w:r>
            <w:r>
              <w:rPr>
                <w:rFonts w:hint="default" w:ascii="Times New Roman" w:hAnsi="Times New Roman" w:eastAsia="仿宋_GB2312" w:cs="Times New Roman"/>
                <w:color w:val="auto"/>
                <w:kern w:val="2"/>
                <w:sz w:val="24"/>
                <w:szCs w:val="24"/>
                <w:highlight w:val="none"/>
                <w:lang w:val="en-US" w:eastAsia="zh-Hans" w:bidi="ar-SA"/>
              </w:rPr>
              <w:t>嵩县城区公园游园综合提升建设项目。</w:t>
            </w:r>
          </w:p>
        </w:tc>
      </w:tr>
    </w:tbl>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outlineLvl w:val="0"/>
        <w:rPr>
          <w:rFonts w:hint="default" w:ascii="Times New Roman" w:hAnsi="Times New Roman" w:cs="Times New Roman"/>
          <w:color w:val="auto"/>
          <w:spacing w:val="-11"/>
          <w:sz w:val="36"/>
          <w:szCs w:val="36"/>
        </w:rPr>
      </w:pPr>
      <w:bookmarkStart w:id="68" w:name="_Toc13517"/>
      <w:r>
        <w:rPr>
          <w:rFonts w:hint="default" w:ascii="Times New Roman" w:hAnsi="Times New Roman" w:eastAsia="黑体" w:cs="Times New Roman"/>
          <w:b/>
          <w:color w:val="auto"/>
          <w:spacing w:val="-11"/>
          <w:kern w:val="0"/>
          <w:sz w:val="36"/>
          <w:szCs w:val="36"/>
          <w:lang w:val="en-US" w:eastAsia="zh-CN" w:bidi="ar"/>
        </w:rPr>
        <w:t>第八篇 完善提升基础设施，构建互联畅通的现代基础体系</w:t>
      </w:r>
      <w:bookmarkEnd w:id="68"/>
      <w:r>
        <w:rPr>
          <w:rFonts w:hint="default" w:ascii="Times New Roman" w:hAnsi="Times New Roman" w:eastAsia="黑体" w:cs="Times New Roman"/>
          <w:b/>
          <w:color w:val="auto"/>
          <w:spacing w:val="-11"/>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坚持适度超前、整体优化、协同融合，加快城乡道路、水利设施和新一代信息基础设施建设，打造集约高效、安全可靠的现代化交通网络、水利系统和新一代信息设施系统。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cs="Times New Roman"/>
          <w:color w:val="auto"/>
          <w:sz w:val="32"/>
          <w:szCs w:val="32"/>
        </w:rPr>
      </w:pPr>
      <w:bookmarkStart w:id="69" w:name="_Toc18423"/>
      <w:r>
        <w:rPr>
          <w:rFonts w:hint="default" w:ascii="Times New Roman" w:hAnsi="Times New Roman" w:eastAsia="黑体" w:cs="Times New Roman"/>
          <w:color w:val="auto"/>
          <w:kern w:val="0"/>
          <w:sz w:val="32"/>
          <w:szCs w:val="32"/>
          <w:lang w:val="en-US" w:eastAsia="zh-CN" w:bidi="ar"/>
        </w:rPr>
        <w:t>第一章 构建便捷畅通的交通路网</w:t>
      </w:r>
      <w:bookmarkEnd w:id="69"/>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完善嵩县运输大通道体系，加快构建发达的快速网、完善的干线网、广泛的基础网，全面提升综合运输网络效应、运营品质和服务品质。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70" w:name="_Toc18347"/>
      <w:r>
        <w:rPr>
          <w:rFonts w:hint="default" w:ascii="Times New Roman" w:hAnsi="Times New Roman" w:eastAsia="仿宋" w:cs="Times New Roman"/>
          <w:b/>
          <w:color w:val="auto"/>
          <w:kern w:val="0"/>
          <w:sz w:val="32"/>
          <w:szCs w:val="32"/>
          <w:lang w:val="en-US" w:eastAsia="zh-CN" w:bidi="ar"/>
        </w:rPr>
        <w:t>第一节 加强高速和国道建设</w:t>
      </w:r>
      <w:bookmarkEnd w:id="70"/>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加速高速建设。</w:t>
      </w:r>
      <w:r>
        <w:rPr>
          <w:rFonts w:hint="default" w:ascii="Times New Roman" w:hAnsi="Times New Roman" w:eastAsia="仿宋_GB2312" w:cs="Times New Roman"/>
          <w:color w:val="auto"/>
          <w:kern w:val="0"/>
          <w:sz w:val="32"/>
          <w:szCs w:val="32"/>
          <w:lang w:val="en-US" w:eastAsia="zh-CN" w:bidi="ar"/>
        </w:rPr>
        <w:t>谋划渑淅高速、洛嵩汝高速，力争新建嵩内高速嵩县段，形成以县城、车村为十字交叉、三纵两横、四通八达的高速主动脉交通网络。</w:t>
      </w:r>
      <w:r>
        <w:rPr>
          <w:rFonts w:hint="default" w:ascii="Times New Roman" w:hAnsi="Times New Roman" w:eastAsia="仿宋_GB2312" w:cs="Times New Roman"/>
          <w:b/>
          <w:color w:val="auto"/>
          <w:kern w:val="0"/>
          <w:sz w:val="32"/>
          <w:szCs w:val="32"/>
          <w:lang w:val="en-US" w:eastAsia="zh-CN" w:bidi="ar"/>
        </w:rPr>
        <w:t>提升干线公路。</w:t>
      </w:r>
      <w:r>
        <w:rPr>
          <w:rFonts w:hint="default" w:ascii="Times New Roman" w:hAnsi="Times New Roman" w:eastAsia="仿宋_GB2312" w:cs="Times New Roman"/>
          <w:color w:val="auto"/>
          <w:kern w:val="0"/>
          <w:sz w:val="32"/>
          <w:szCs w:val="32"/>
          <w:lang w:val="en-US" w:eastAsia="zh-CN" w:bidi="ar"/>
        </w:rPr>
        <w:t>加快火炬大道（宜阳</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洛阳</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伊川</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嵩县）与县道 </w:t>
      </w:r>
      <w:r>
        <w:rPr>
          <w:rFonts w:hint="default" w:ascii="Times New Roman" w:hAnsi="Times New Roman" w:eastAsia="宋体" w:cs="Times New Roman"/>
          <w:color w:val="auto"/>
          <w:kern w:val="0"/>
          <w:sz w:val="32"/>
          <w:szCs w:val="32"/>
          <w:lang w:val="en-US" w:eastAsia="zh-CN" w:bidi="ar"/>
        </w:rPr>
        <w:t>X112</w:t>
      </w:r>
      <w:r>
        <w:rPr>
          <w:rFonts w:hint="default" w:ascii="Times New Roman" w:hAnsi="Times New Roman" w:eastAsia="仿宋_GB2312" w:cs="Times New Roman"/>
          <w:color w:val="auto"/>
          <w:kern w:val="0"/>
          <w:sz w:val="32"/>
          <w:szCs w:val="32"/>
          <w:lang w:val="en-US" w:eastAsia="zh-CN" w:bidi="ar"/>
        </w:rPr>
        <w:t xml:space="preserve">（德韩线）相连，实施 </w:t>
      </w:r>
      <w:r>
        <w:rPr>
          <w:rFonts w:hint="default" w:ascii="Times New Roman" w:hAnsi="Times New Roman" w:eastAsia="宋体" w:cs="Times New Roman"/>
          <w:color w:val="auto"/>
          <w:kern w:val="0"/>
          <w:sz w:val="32"/>
          <w:szCs w:val="32"/>
          <w:lang w:val="en-US" w:eastAsia="zh-CN" w:bidi="ar"/>
        </w:rPr>
        <w:t xml:space="preserve">G344 </w:t>
      </w:r>
      <w:r>
        <w:rPr>
          <w:rFonts w:hint="default" w:ascii="Times New Roman" w:hAnsi="Times New Roman" w:eastAsia="仿宋_GB2312" w:cs="Times New Roman"/>
          <w:color w:val="auto"/>
          <w:kern w:val="0"/>
          <w:sz w:val="32"/>
          <w:szCs w:val="32"/>
          <w:lang w:val="en-US" w:eastAsia="zh-CN" w:bidi="ar"/>
        </w:rPr>
        <w:t>嵩县陆浑至箭沟河段改建工程，</w:t>
      </w:r>
      <w:r>
        <w:rPr>
          <w:rFonts w:hint="default" w:ascii="Times New Roman" w:hAnsi="Times New Roman" w:eastAsia="宋体" w:cs="Times New Roman"/>
          <w:color w:val="auto"/>
          <w:kern w:val="0"/>
          <w:sz w:val="32"/>
          <w:szCs w:val="32"/>
          <w:lang w:val="en-US" w:eastAsia="zh-CN" w:bidi="ar"/>
        </w:rPr>
        <w:t xml:space="preserve">G311 </w:t>
      </w:r>
      <w:r>
        <w:rPr>
          <w:rFonts w:hint="default" w:ascii="Times New Roman" w:hAnsi="Times New Roman" w:eastAsia="仿宋_GB2312" w:cs="Times New Roman"/>
          <w:color w:val="auto"/>
          <w:kern w:val="0"/>
          <w:sz w:val="32"/>
          <w:szCs w:val="32"/>
          <w:lang w:val="en-US" w:eastAsia="zh-CN" w:bidi="ar"/>
        </w:rPr>
        <w:t>连栾线木札岭至嵩栾交界段改建工程，</w:t>
      </w:r>
      <w:r>
        <w:rPr>
          <w:rFonts w:hint="default" w:ascii="Times New Roman" w:hAnsi="Times New Roman" w:eastAsia="宋体" w:cs="Times New Roman"/>
          <w:color w:val="auto"/>
          <w:kern w:val="0"/>
          <w:sz w:val="32"/>
          <w:szCs w:val="32"/>
          <w:lang w:val="en-US" w:eastAsia="zh-CN" w:bidi="ar"/>
        </w:rPr>
        <w:t xml:space="preserve">G208 </w:t>
      </w:r>
      <w:r>
        <w:rPr>
          <w:rFonts w:hint="default" w:ascii="Times New Roman" w:hAnsi="Times New Roman" w:eastAsia="仿宋_GB2312" w:cs="Times New Roman"/>
          <w:color w:val="auto"/>
          <w:kern w:val="0"/>
          <w:sz w:val="32"/>
          <w:szCs w:val="32"/>
          <w:lang w:val="en-US" w:eastAsia="zh-CN" w:bidi="ar"/>
        </w:rPr>
        <w:t xml:space="preserve">二淅线黄庄至红崖段改建等工程。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71" w:name="_Toc14502"/>
      <w:r>
        <w:rPr>
          <w:rFonts w:hint="default" w:ascii="Times New Roman" w:hAnsi="Times New Roman" w:eastAsia="仿宋" w:cs="Times New Roman"/>
          <w:b/>
          <w:color w:val="auto"/>
          <w:kern w:val="0"/>
          <w:sz w:val="32"/>
          <w:szCs w:val="32"/>
          <w:lang w:val="en-US" w:eastAsia="zh-CN" w:bidi="ar"/>
        </w:rPr>
        <w:t>第二节 完善县、乡、村、组公路建设</w:t>
      </w:r>
      <w:bookmarkEnd w:id="71"/>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推进“四好农村路”建设，推动交通项目更多向进村入户倾斜，改善县乡公路路网，实现农村道路通村入组。以绕县城环线、白云山公路环线、天池山公路环线、陆浑湖公路环线为主框架，以通乡镇道路为支线，构建路路、村村、组组相通相连，与干线公路构成四通八达的县域公路网络。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cs="Times New Roman"/>
          <w:color w:val="auto"/>
          <w:sz w:val="32"/>
          <w:szCs w:val="32"/>
        </w:rPr>
      </w:pPr>
      <w:bookmarkStart w:id="72" w:name="_Toc609"/>
      <w:r>
        <w:rPr>
          <w:rFonts w:hint="default" w:ascii="Times New Roman" w:hAnsi="Times New Roman" w:eastAsia="黑体" w:cs="Times New Roman"/>
          <w:color w:val="auto"/>
          <w:kern w:val="0"/>
          <w:sz w:val="32"/>
          <w:szCs w:val="32"/>
          <w:lang w:val="en-US" w:eastAsia="zh-CN" w:bidi="ar"/>
        </w:rPr>
        <w:t>第二章 完善水利基础设施</w:t>
      </w:r>
      <w:bookmarkEnd w:id="72"/>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坚持节水优先、空间均衡、系统治理、两手发力，统筹水资源、水生态、水环境、水灾害“四水同治”，全面加快县域水利建设和水生态保护工程。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cs="Times New Roman"/>
          <w:color w:val="auto"/>
          <w:sz w:val="32"/>
          <w:szCs w:val="32"/>
        </w:rPr>
      </w:pPr>
      <w:bookmarkStart w:id="73" w:name="_Toc18523"/>
      <w:r>
        <w:rPr>
          <w:rFonts w:hint="default" w:ascii="Times New Roman" w:hAnsi="Times New Roman" w:eastAsia="仿宋" w:cs="Times New Roman"/>
          <w:b/>
          <w:color w:val="auto"/>
          <w:kern w:val="0"/>
          <w:sz w:val="32"/>
          <w:szCs w:val="32"/>
          <w:lang w:val="en-US" w:eastAsia="zh-CN" w:bidi="ar"/>
        </w:rPr>
        <w:t>第一节 高效利用水资源</w:t>
      </w:r>
      <w:bookmarkEnd w:id="7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加大民生水利投入，开展农业水利设施建设，新建改造生活供水工程，巩固提升农村供水保障能力，新建节水灌溉、水库灌溉渠系配套建设项目，建设节水型社会，大幅提高用水效率和效益，加快实现从粗放用水向节约集约用水的根本转变。谋划建设白河镇上庄坪水库、车村镇净池水库，建设抗旱水源工程，加大水能资源开发力度。强化水资源管理，实现水资源可持续利用，促进经济社会发展与水资源水环境承载能力相协调。提高用水效率，以高效的水资源利用促进经济社会可持续发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74" w:name="_Toc24925"/>
      <w:r>
        <w:rPr>
          <w:rFonts w:hint="default" w:ascii="Times New Roman" w:hAnsi="Times New Roman" w:eastAsia="仿宋" w:cs="Times New Roman"/>
          <w:b/>
          <w:color w:val="auto"/>
          <w:kern w:val="0"/>
          <w:sz w:val="32"/>
          <w:szCs w:val="32"/>
          <w:lang w:val="en-US" w:eastAsia="zh-CN" w:bidi="ar"/>
        </w:rPr>
        <w:t>第二节 科学防洪水减灾</w:t>
      </w:r>
      <w:bookmarkEnd w:id="74"/>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构建兴利除害的现代防洪体系，确保全县防洪安全，继续实施防洪减灾工程建设，实施伊河、北汝河、白河综合治理工程等一批强基础、利长远的重大项目建设。实施库坝除险加固工程，分期分批实施德亭川、明白河等一批河流沟道防洪治理工程，逐步提高各河段防洪标准，守住水灾害防御底线。采取小流域综合治理、淤地坝建设、坡耕地整治、水保造林、生态修复等措施，有效防止水土流失。深入推进河湖“清四乱”常态化、规范化，提升水生态环境质量。统筹推进水旱灾害防御、气象、水文预报预警体系建设，建设防洪减灾的科学指挥调度系统。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cs="Times New Roman"/>
          <w:color w:val="auto"/>
          <w:sz w:val="32"/>
          <w:szCs w:val="32"/>
        </w:rPr>
      </w:pPr>
      <w:bookmarkStart w:id="75" w:name="_Toc6196"/>
      <w:r>
        <w:rPr>
          <w:rFonts w:hint="default" w:ascii="Times New Roman" w:hAnsi="Times New Roman" w:eastAsia="黑体" w:cs="Times New Roman"/>
          <w:color w:val="auto"/>
          <w:kern w:val="0"/>
          <w:sz w:val="32"/>
          <w:szCs w:val="32"/>
          <w:lang w:val="en-US" w:eastAsia="zh-CN" w:bidi="ar"/>
        </w:rPr>
        <w:t>第三章 扩大清洁能源利用</w:t>
      </w:r>
      <w:bookmarkEnd w:id="75"/>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发挥嵩县风能资源丰富优势，坚持节能优先，内源优化，创新引领，完善能源供储销体系，全面提升能源安全绿色保障水平。加快能源结构调整，构建清洁能源消纳机制，稳步提高可再生、清洁能源利用规模和比例。因地制宜开发风电、抽水蓄能电站等新能源。进一步扩大风电装机容量，实施港能熊耳山等风电场项目，积极开发九皋镇等区域风资源，加快推进前期测风等工作。加快嵩县抽水蓄能电站项目前期工作，早日开工建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1"/>
        <w:rPr>
          <w:rFonts w:hint="default" w:ascii="Times New Roman" w:hAnsi="Times New Roman" w:cs="Times New Roman"/>
          <w:color w:val="auto"/>
          <w:sz w:val="32"/>
          <w:szCs w:val="32"/>
        </w:rPr>
      </w:pPr>
      <w:bookmarkStart w:id="76" w:name="_Toc26119"/>
      <w:r>
        <w:rPr>
          <w:rFonts w:hint="default" w:ascii="Times New Roman" w:hAnsi="Times New Roman" w:eastAsia="黑体" w:cs="Times New Roman"/>
          <w:color w:val="auto"/>
          <w:kern w:val="0"/>
          <w:sz w:val="32"/>
          <w:szCs w:val="32"/>
          <w:lang w:val="en-US" w:eastAsia="zh-CN" w:bidi="ar"/>
        </w:rPr>
        <w:t>第四章 加快新一代信息基础设施建设</w:t>
      </w:r>
      <w:bookmarkEnd w:id="76"/>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加快建设信息基础设施、融合基础设施、创新基础设施等新型基础设施，以 </w:t>
      </w:r>
      <w:r>
        <w:rPr>
          <w:rFonts w:hint="default" w:ascii="Times New Roman" w:hAnsi="Times New Roman" w:eastAsia="宋体" w:cs="Times New Roman"/>
          <w:color w:val="auto"/>
          <w:kern w:val="0"/>
          <w:sz w:val="32"/>
          <w:szCs w:val="32"/>
          <w:lang w:val="en-US" w:eastAsia="zh-CN" w:bidi="ar"/>
        </w:rPr>
        <w:t xml:space="preserve">5G </w:t>
      </w:r>
      <w:r>
        <w:rPr>
          <w:rFonts w:hint="default" w:ascii="Times New Roman" w:hAnsi="Times New Roman" w:eastAsia="仿宋_GB2312" w:cs="Times New Roman"/>
          <w:color w:val="auto"/>
          <w:kern w:val="0"/>
          <w:sz w:val="32"/>
          <w:szCs w:val="32"/>
          <w:lang w:val="en-US" w:eastAsia="zh-CN" w:bidi="ar"/>
        </w:rPr>
        <w:t xml:space="preserve">网络建设为牵引，增强对数字转型、职能升级、融合创新的支撑能力。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eastAsia="仿宋" w:cs="Times New Roman"/>
          <w:b/>
          <w:color w:val="auto"/>
          <w:kern w:val="0"/>
          <w:sz w:val="32"/>
          <w:szCs w:val="32"/>
          <w:lang w:val="en-US" w:eastAsia="zh-CN" w:bidi="ar"/>
        </w:rPr>
      </w:pPr>
      <w:bookmarkStart w:id="77" w:name="_Toc32182"/>
      <w:r>
        <w:rPr>
          <w:rFonts w:hint="default" w:ascii="Times New Roman" w:hAnsi="Times New Roman" w:eastAsia="仿宋" w:cs="Times New Roman"/>
          <w:b/>
          <w:color w:val="auto"/>
          <w:kern w:val="0"/>
          <w:sz w:val="32"/>
          <w:szCs w:val="32"/>
          <w:lang w:val="en-US" w:eastAsia="zh-CN" w:bidi="ar"/>
        </w:rPr>
        <w:t>第一节 推动</w:t>
      </w:r>
      <w:r>
        <w:rPr>
          <w:rFonts w:hint="default" w:ascii="Times New Roman" w:hAnsi="Times New Roman" w:eastAsia="仿宋" w:cs="Times New Roman"/>
          <w:b/>
          <w:color w:val="auto"/>
          <w:kern w:val="0"/>
          <w:sz w:val="32"/>
          <w:szCs w:val="32"/>
          <w:lang w:val="en-US" w:eastAsia="zh-CN" w:bidi="ar"/>
        </w:rPr>
        <w:t>5G</w:t>
      </w:r>
      <w:r>
        <w:rPr>
          <w:rFonts w:hint="default" w:ascii="Times New Roman" w:hAnsi="Times New Roman" w:eastAsia="仿宋" w:cs="Times New Roman"/>
          <w:b/>
          <w:color w:val="auto"/>
          <w:kern w:val="0"/>
          <w:sz w:val="32"/>
          <w:szCs w:val="32"/>
          <w:lang w:val="en-US" w:eastAsia="zh-CN" w:bidi="ar"/>
        </w:rPr>
        <w:t>网络建设</w:t>
      </w:r>
      <w:bookmarkEnd w:id="77"/>
      <w:r>
        <w:rPr>
          <w:rFonts w:hint="default" w:ascii="Times New Roman" w:hAnsi="Times New Roman" w:eastAsia="仿宋" w:cs="Times New Roman"/>
          <w:b/>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以信息网络建设为基础、创新融合应用为关键，坚持统筹规划、分批实施，推进 </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网络覆盖，加快规模组网。</w:t>
      </w:r>
      <w:r>
        <w:rPr>
          <w:rFonts w:hint="default" w:ascii="Times New Roman" w:hAnsi="Times New Roman" w:eastAsia="宋体" w:cs="Times New Roman"/>
          <w:color w:val="auto"/>
          <w:kern w:val="0"/>
          <w:sz w:val="32"/>
          <w:szCs w:val="32"/>
          <w:lang w:val="en-US" w:eastAsia="zh-CN" w:bidi="ar"/>
        </w:rPr>
        <w:t xml:space="preserve">2023 </w:t>
      </w:r>
      <w:r>
        <w:rPr>
          <w:rFonts w:hint="default" w:ascii="Times New Roman" w:hAnsi="Times New Roman" w:eastAsia="仿宋_GB2312" w:cs="Times New Roman"/>
          <w:color w:val="auto"/>
          <w:kern w:val="0"/>
          <w:sz w:val="32"/>
          <w:szCs w:val="32"/>
          <w:lang w:val="en-US" w:eastAsia="zh-CN" w:bidi="ar"/>
        </w:rPr>
        <w:t xml:space="preserve">年优先推进城乡重点区域、重点用户 </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网络建设，实现城乡广覆盖。突出 </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在智能制造、智慧文旅、智慧医疗养老等领域的示范应用和引领带动作用，到 </w:t>
      </w:r>
      <w:r>
        <w:rPr>
          <w:rFonts w:hint="default" w:ascii="Times New Roman" w:hAnsi="Times New Roman" w:eastAsia="宋体" w:cs="Times New Roman"/>
          <w:color w:val="auto"/>
          <w:kern w:val="0"/>
          <w:sz w:val="32"/>
          <w:szCs w:val="32"/>
          <w:lang w:val="en-US" w:eastAsia="zh-CN" w:bidi="ar"/>
        </w:rPr>
        <w:t xml:space="preserve">2025 </w:t>
      </w:r>
      <w:r>
        <w:rPr>
          <w:rFonts w:hint="default" w:ascii="Times New Roman" w:hAnsi="Times New Roman" w:eastAsia="仿宋_GB2312" w:cs="Times New Roman"/>
          <w:color w:val="auto"/>
          <w:kern w:val="0"/>
          <w:sz w:val="32"/>
          <w:szCs w:val="32"/>
          <w:lang w:val="en-US" w:eastAsia="zh-CN" w:bidi="ar"/>
        </w:rPr>
        <w:t xml:space="preserve">年建成较为完善的规模化网络体系。重点推进嵩县移动公司的 </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无线网络基站建设及应用、嵩县联通公司无线网络基站建设（与嵩县电信公司共建共享）及应用、嵩县铁塔公司的 </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基站建设等项目。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outlineLvl w:val="2"/>
        <w:rPr>
          <w:rFonts w:hint="default" w:ascii="Times New Roman" w:hAnsi="Times New Roman" w:cs="Times New Roman"/>
          <w:color w:val="auto"/>
          <w:sz w:val="32"/>
          <w:szCs w:val="32"/>
        </w:rPr>
      </w:pPr>
      <w:bookmarkStart w:id="78" w:name="_Toc27299"/>
      <w:r>
        <w:rPr>
          <w:rFonts w:hint="default" w:ascii="Times New Roman" w:hAnsi="Times New Roman" w:eastAsia="仿宋" w:cs="Times New Roman"/>
          <w:b/>
          <w:color w:val="auto"/>
          <w:kern w:val="0"/>
          <w:sz w:val="32"/>
          <w:szCs w:val="32"/>
          <w:lang w:val="en-US" w:eastAsia="zh-CN" w:bidi="ar"/>
        </w:rPr>
        <w:t>第二节 推动融合基础设施建设</w:t>
      </w:r>
      <w:bookmarkEnd w:id="78"/>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坚持创新发展，推动数据平台建设。加快</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与产业行业融合应用，发挥政府统筹服务功能，强化政策支持，优先在企业发展、文化旅游、医疗养老、城市应用、教育等领域推进</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应用。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宋体" w:cs="Times New Roman"/>
          <w:b/>
          <w:color w:val="auto"/>
          <w:kern w:val="0"/>
          <w:sz w:val="32"/>
          <w:szCs w:val="32"/>
          <w:lang w:val="en-US" w:eastAsia="zh-CN" w:bidi="ar"/>
        </w:rPr>
        <w:t>5G+</w:t>
      </w:r>
      <w:r>
        <w:rPr>
          <w:rFonts w:hint="default" w:ascii="Times New Roman" w:hAnsi="Times New Roman" w:eastAsia="仿宋_GB2312" w:cs="Times New Roman"/>
          <w:b/>
          <w:color w:val="auto"/>
          <w:kern w:val="0"/>
          <w:sz w:val="32"/>
          <w:szCs w:val="32"/>
          <w:lang w:val="en-US" w:eastAsia="zh-CN" w:bidi="ar"/>
        </w:rPr>
        <w:t>智能制造示范应用。</w:t>
      </w:r>
      <w:r>
        <w:rPr>
          <w:rFonts w:hint="default" w:ascii="Times New Roman" w:hAnsi="Times New Roman" w:eastAsia="仿宋_GB2312" w:cs="Times New Roman"/>
          <w:color w:val="auto"/>
          <w:kern w:val="0"/>
          <w:sz w:val="32"/>
          <w:szCs w:val="32"/>
          <w:lang w:val="en-US" w:eastAsia="zh-CN" w:bidi="ar"/>
        </w:rPr>
        <w:t>重点推进山金公司、金源公司等采选类企业智慧矿山建设，支持装备制造、医药等龙头企业与基础电信运营企业、互联网企业、科研院所等开展合作，利用</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建设柔性生产线，实施智能化改造，助推制造业转型升级、高质量发展。</w:t>
      </w:r>
      <w:r>
        <w:rPr>
          <w:rFonts w:hint="default" w:ascii="Times New Roman" w:hAnsi="Times New Roman" w:eastAsia="宋体" w:cs="Times New Roman"/>
          <w:b/>
          <w:color w:val="auto"/>
          <w:kern w:val="0"/>
          <w:sz w:val="32"/>
          <w:szCs w:val="32"/>
          <w:lang w:val="en-US" w:eastAsia="zh-CN" w:bidi="ar"/>
        </w:rPr>
        <w:t>5G+</w:t>
      </w:r>
      <w:r>
        <w:rPr>
          <w:rFonts w:hint="default" w:ascii="Times New Roman" w:hAnsi="Times New Roman" w:eastAsia="仿宋_GB2312" w:cs="Times New Roman"/>
          <w:b/>
          <w:color w:val="auto"/>
          <w:kern w:val="0"/>
          <w:sz w:val="32"/>
          <w:szCs w:val="32"/>
          <w:lang w:val="en-US" w:eastAsia="zh-CN" w:bidi="ar"/>
        </w:rPr>
        <w:t>智慧文旅示范应用。</w:t>
      </w:r>
      <w:r>
        <w:rPr>
          <w:rFonts w:hint="default" w:ascii="Times New Roman" w:hAnsi="Times New Roman" w:eastAsia="仿宋_GB2312" w:cs="Times New Roman"/>
          <w:color w:val="auto"/>
          <w:kern w:val="0"/>
          <w:sz w:val="32"/>
          <w:szCs w:val="32"/>
          <w:lang w:val="en-US" w:eastAsia="zh-CN" w:bidi="ar"/>
        </w:rPr>
        <w:t>重点在白云山、天池山、木札岭等</w:t>
      </w:r>
      <w:r>
        <w:rPr>
          <w:rFonts w:hint="default" w:ascii="Times New Roman" w:hAnsi="Times New Roman" w:eastAsia="宋体" w:cs="Times New Roman"/>
          <w:color w:val="auto"/>
          <w:kern w:val="0"/>
          <w:sz w:val="32"/>
          <w:szCs w:val="32"/>
          <w:lang w:val="en-US" w:eastAsia="zh-CN" w:bidi="ar"/>
        </w:rPr>
        <w:t>3A</w:t>
      </w:r>
      <w:r>
        <w:rPr>
          <w:rFonts w:hint="default" w:ascii="Times New Roman" w:hAnsi="Times New Roman" w:eastAsia="仿宋_GB2312" w:cs="Times New Roman"/>
          <w:color w:val="auto"/>
          <w:kern w:val="0"/>
          <w:sz w:val="32"/>
          <w:szCs w:val="32"/>
          <w:lang w:val="en-US" w:eastAsia="zh-CN" w:bidi="ar"/>
        </w:rPr>
        <w:t>级以上重点旅游景区，推进人流预警管理、智慧停车、云上推介、高清视频拍摄等</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特色应用。利用全省</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充电智能服务平台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，构建“车—桩—网”智能公共充电网络，提供充电桩管理、导航充电、付费结算等服务，全面激发能源互联网生态活力。</w:t>
      </w:r>
      <w:r>
        <w:rPr>
          <w:rFonts w:hint="default" w:ascii="Times New Roman" w:hAnsi="Times New Roman" w:eastAsia="宋体" w:cs="Times New Roman"/>
          <w:b/>
          <w:color w:val="auto"/>
          <w:kern w:val="0"/>
          <w:sz w:val="32"/>
          <w:szCs w:val="32"/>
          <w:lang w:val="en-US" w:eastAsia="zh-CN" w:bidi="ar"/>
        </w:rPr>
        <w:t>5G+</w:t>
      </w:r>
      <w:r>
        <w:rPr>
          <w:rFonts w:hint="default" w:ascii="Times New Roman" w:hAnsi="Times New Roman" w:eastAsia="仿宋_GB2312" w:cs="Times New Roman"/>
          <w:b/>
          <w:color w:val="auto"/>
          <w:kern w:val="0"/>
          <w:sz w:val="32"/>
          <w:szCs w:val="32"/>
          <w:lang w:val="en-US" w:eastAsia="zh-CN" w:bidi="ar"/>
        </w:rPr>
        <w:t>新型智慧城市示范应用。</w:t>
      </w:r>
      <w:r>
        <w:rPr>
          <w:rFonts w:hint="default" w:ascii="Times New Roman" w:hAnsi="Times New Roman" w:eastAsia="仿宋_GB2312" w:cs="Times New Roman"/>
          <w:color w:val="auto"/>
          <w:kern w:val="0"/>
          <w:sz w:val="32"/>
          <w:szCs w:val="32"/>
          <w:lang w:val="en-US" w:eastAsia="zh-CN" w:bidi="ar"/>
        </w:rPr>
        <w:t>重点加强</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在智慧政务、社会治理、智慧交通、智慧环保、智慧安防等领域的应用推广。加快汽车站、公交站</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智慧交通应用建设，提升自动化调度、人脸识别、智能安监等服务水平，形成重点领域系统互嵌，打造</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智慧政务便民服务圈。</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年，基本建成</w:t>
      </w:r>
      <w:r>
        <w:rPr>
          <w:rFonts w:hint="default" w:ascii="Times New Roman" w:hAnsi="Times New Roman" w:eastAsia="宋体" w:cs="Times New Roman"/>
          <w:color w:val="auto"/>
          <w:kern w:val="0"/>
          <w:sz w:val="32"/>
          <w:szCs w:val="32"/>
          <w:lang w:val="en-US" w:eastAsia="zh-CN" w:bidi="ar"/>
        </w:rPr>
        <w:t>5G+</w:t>
      </w:r>
      <w:r>
        <w:rPr>
          <w:rFonts w:hint="default" w:ascii="Times New Roman" w:hAnsi="Times New Roman" w:eastAsia="仿宋_GB2312" w:cs="Times New Roman"/>
          <w:color w:val="auto"/>
          <w:kern w:val="0"/>
          <w:sz w:val="32"/>
          <w:szCs w:val="32"/>
          <w:lang w:val="en-US" w:eastAsia="zh-CN" w:bidi="ar"/>
        </w:rPr>
        <w:t xml:space="preserve">新型智慧城市应用示范体系。 </w:t>
      </w:r>
    </w:p>
    <w:tbl>
      <w:tblPr>
        <w:tblStyle w:val="6"/>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580" w:type="dxa"/>
            <w:noWrap w:val="0"/>
            <w:vAlign w:val="top"/>
          </w:tcPr>
          <w:p>
            <w:pPr>
              <w:pStyle w:val="12"/>
              <w:pageBreakBefore w:val="0"/>
              <w:kinsoku/>
              <w:wordWrap/>
              <w:bidi w:val="0"/>
              <w:spacing w:beforeAutospacing="0" w:afterAutospacing="0" w:line="580" w:lineRule="exact"/>
              <w:ind w:left="0"/>
              <w:jc w:val="center"/>
              <w:rPr>
                <w:rFonts w:hint="default" w:ascii="Times New Roman" w:hAnsi="Times New Roman" w:eastAsia="仿宋" w:cs="Times New Roman"/>
                <w:color w:val="auto"/>
                <w:kern w:val="2"/>
                <w:sz w:val="28"/>
                <w:szCs w:val="28"/>
                <w:highlight w:val="none"/>
                <w:lang w:eastAsia="zh-CN"/>
              </w:rPr>
            </w:pPr>
            <w:bookmarkStart w:id="79" w:name="_Toc8606"/>
            <w:r>
              <w:rPr>
                <w:rFonts w:hint="default" w:ascii="Times New Roman" w:hAnsi="Times New Roman" w:eastAsia="方正黑体简体" w:cs="Times New Roman"/>
                <w:b w:val="0"/>
                <w:bCs w:val="0"/>
                <w:color w:val="auto"/>
                <w:kern w:val="2"/>
                <w:sz w:val="30"/>
                <w:szCs w:val="30"/>
                <w:highlight w:val="none"/>
              </w:rPr>
              <w:t>专栏</w:t>
            </w:r>
            <w:r>
              <w:rPr>
                <w:rFonts w:hint="default" w:ascii="Times New Roman" w:hAnsi="Times New Roman" w:eastAsia="方正黑体简体" w:cs="Times New Roman"/>
                <w:b w:val="0"/>
                <w:bCs w:val="0"/>
                <w:color w:val="auto"/>
                <w:kern w:val="2"/>
                <w:sz w:val="30"/>
                <w:szCs w:val="30"/>
                <w:highlight w:val="none"/>
                <w:lang w:val="en-US" w:eastAsia="zh-CN"/>
              </w:rPr>
              <w:t>12</w:t>
            </w:r>
            <w:r>
              <w:rPr>
                <w:rFonts w:hint="default" w:ascii="Times New Roman" w:hAnsi="Times New Roman" w:eastAsia="方正黑体简体" w:cs="Times New Roman"/>
                <w:b w:val="0"/>
                <w:bCs w:val="0"/>
                <w:color w:val="auto"/>
                <w:kern w:val="2"/>
                <w:sz w:val="30"/>
                <w:szCs w:val="30"/>
                <w:highlight w:val="none"/>
              </w:rPr>
              <w:t>：</w:t>
            </w:r>
            <w:r>
              <w:rPr>
                <w:rFonts w:hint="default" w:ascii="Times New Roman" w:hAnsi="Times New Roman" w:eastAsia="方正黑体简体" w:cs="Times New Roman"/>
                <w:b w:val="0"/>
                <w:bCs w:val="0"/>
                <w:color w:val="auto"/>
                <w:kern w:val="2"/>
                <w:sz w:val="30"/>
                <w:szCs w:val="30"/>
                <w:highlight w:val="none"/>
                <w:lang w:eastAsia="zh-CN"/>
              </w:rPr>
              <w:t>“</w:t>
            </w:r>
            <w:r>
              <w:rPr>
                <w:rFonts w:hint="default" w:ascii="Times New Roman" w:hAnsi="Times New Roman" w:eastAsia="方正黑体简体" w:cs="Times New Roman"/>
                <w:b w:val="0"/>
                <w:bCs w:val="0"/>
                <w:color w:val="auto"/>
                <w:kern w:val="2"/>
                <w:sz w:val="30"/>
                <w:szCs w:val="30"/>
                <w:highlight w:val="none"/>
              </w:rPr>
              <w:t>十四五”重大基础设施项目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jc w:val="center"/>
        </w:trPr>
        <w:tc>
          <w:tcPr>
            <w:tcW w:w="858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420" w:lineRule="exact"/>
              <w:ind w:left="0"/>
              <w:textAlignment w:val="auto"/>
              <w:rPr>
                <w:rFonts w:hint="default" w:ascii="Times New Roman" w:hAnsi="Times New Roman" w:eastAsia="楷体"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rPr>
              <w:t>1、嵩县产业集聚区基础设施提升项目；2、嵩县电力基础设施项目；3、嵩县智慧交通城乡一体化建设项目；4、嵩县5G基站建设项目；5、嵩县5G</w:t>
            </w:r>
            <w:r>
              <w:rPr>
                <w:rFonts w:hint="default" w:ascii="Times New Roman" w:hAnsi="Times New Roman" w:eastAsia="仿宋_GB2312" w:cs="Times New Roman"/>
                <w:color w:val="auto"/>
                <w:kern w:val="2"/>
                <w:sz w:val="24"/>
                <w:szCs w:val="24"/>
                <w:highlight w:val="none"/>
                <w:lang w:eastAsia="zh-CN"/>
              </w:rPr>
              <w:t>融合应用</w:t>
            </w:r>
            <w:r>
              <w:rPr>
                <w:rFonts w:hint="default" w:ascii="Times New Roman" w:hAnsi="Times New Roman" w:eastAsia="仿宋_GB2312" w:cs="Times New Roman"/>
                <w:color w:val="auto"/>
                <w:kern w:val="2"/>
                <w:sz w:val="24"/>
                <w:szCs w:val="24"/>
                <w:highlight w:val="none"/>
              </w:rPr>
              <w:t>项目；6、嵩县乡村煤改气工程；</w:t>
            </w:r>
            <w:r>
              <w:rPr>
                <w:rFonts w:hint="default" w:ascii="Times New Roman" w:hAnsi="Times New Roman" w:eastAsia="仿宋_GB2312" w:cs="Times New Roman"/>
                <w:color w:val="auto"/>
                <w:kern w:val="2"/>
                <w:sz w:val="24"/>
                <w:szCs w:val="24"/>
                <w:highlight w:val="none"/>
                <w:u w:val="none"/>
                <w:lang w:val="en-US" w:eastAsia="zh-CN"/>
              </w:rPr>
              <w:t>7</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eastAsia="zh-CN"/>
              </w:rPr>
              <w:t>谋划</w:t>
            </w:r>
            <w:r>
              <w:rPr>
                <w:rFonts w:hint="default" w:ascii="Times New Roman" w:hAnsi="Times New Roman" w:eastAsia="仿宋_GB2312" w:cs="Times New Roman"/>
                <w:color w:val="auto"/>
                <w:kern w:val="2"/>
                <w:sz w:val="24"/>
                <w:szCs w:val="24"/>
                <w:highlight w:val="none"/>
                <w:u w:val="none"/>
              </w:rPr>
              <w:t>洛阳</w:t>
            </w:r>
            <w:r>
              <w:rPr>
                <w:rFonts w:hint="default" w:ascii="Times New Roman" w:hAnsi="Times New Roman" w:eastAsia="仿宋_GB2312" w:cs="Times New Roman"/>
                <w:color w:val="auto"/>
                <w:kern w:val="2"/>
                <w:sz w:val="24"/>
                <w:szCs w:val="24"/>
                <w:highlight w:val="none"/>
                <w:u w:val="none"/>
                <w:lang w:eastAsia="zh-CN"/>
              </w:rPr>
              <w:t>经</w:t>
            </w:r>
            <w:r>
              <w:rPr>
                <w:rFonts w:hint="default" w:ascii="Times New Roman" w:hAnsi="Times New Roman" w:eastAsia="仿宋_GB2312" w:cs="Times New Roman"/>
                <w:color w:val="auto"/>
                <w:kern w:val="2"/>
                <w:sz w:val="24"/>
                <w:szCs w:val="24"/>
                <w:highlight w:val="none"/>
                <w:u w:val="none"/>
              </w:rPr>
              <w:t>嵩县至十偃铁路；</w:t>
            </w:r>
            <w:r>
              <w:rPr>
                <w:rFonts w:hint="default" w:ascii="Times New Roman" w:hAnsi="Times New Roman" w:eastAsia="仿宋_GB2312" w:cs="Times New Roman"/>
                <w:color w:val="auto"/>
                <w:kern w:val="2"/>
                <w:sz w:val="24"/>
                <w:szCs w:val="24"/>
                <w:highlight w:val="none"/>
                <w:u w:val="none"/>
                <w:lang w:val="en-US" w:eastAsia="zh-CN"/>
              </w:rPr>
              <w:t>8</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eastAsia="zh-CN"/>
              </w:rPr>
              <w:t>谋划</w:t>
            </w:r>
            <w:r>
              <w:rPr>
                <w:rFonts w:hint="default" w:ascii="Times New Roman" w:hAnsi="Times New Roman" w:eastAsia="仿宋_GB2312" w:cs="Times New Roman"/>
                <w:color w:val="auto"/>
                <w:kern w:val="2"/>
                <w:sz w:val="24"/>
                <w:szCs w:val="24"/>
                <w:highlight w:val="none"/>
                <w:u w:val="none"/>
              </w:rPr>
              <w:t>伏牛山</w:t>
            </w:r>
            <w:r>
              <w:rPr>
                <w:rFonts w:hint="default" w:ascii="Times New Roman" w:hAnsi="Times New Roman" w:eastAsia="仿宋_GB2312" w:cs="Times New Roman"/>
                <w:color w:val="auto"/>
                <w:kern w:val="2"/>
                <w:sz w:val="24"/>
                <w:szCs w:val="24"/>
                <w:highlight w:val="none"/>
                <w:u w:val="none"/>
                <w:lang w:eastAsia="zh-CN"/>
              </w:rPr>
              <w:t>生态旅游</w:t>
            </w:r>
            <w:r>
              <w:rPr>
                <w:rFonts w:hint="default" w:ascii="Times New Roman" w:hAnsi="Times New Roman" w:eastAsia="仿宋_GB2312" w:cs="Times New Roman"/>
                <w:color w:val="auto"/>
                <w:kern w:val="2"/>
                <w:sz w:val="24"/>
                <w:szCs w:val="24"/>
                <w:highlight w:val="none"/>
                <w:u w:val="none"/>
              </w:rPr>
              <w:t>轨道交通建设项目；</w:t>
            </w:r>
            <w:r>
              <w:rPr>
                <w:rFonts w:hint="default" w:ascii="Times New Roman" w:hAnsi="Times New Roman" w:eastAsia="仿宋_GB2312" w:cs="Times New Roman"/>
                <w:color w:val="auto"/>
                <w:kern w:val="2"/>
                <w:sz w:val="24"/>
                <w:szCs w:val="24"/>
                <w:highlight w:val="none"/>
                <w:u w:val="none"/>
                <w:lang w:val="en-US" w:eastAsia="zh-CN"/>
              </w:rPr>
              <w:t>9</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eastAsia="zh-CN"/>
              </w:rPr>
              <w:t>谋划</w:t>
            </w:r>
            <w:r>
              <w:rPr>
                <w:rFonts w:hint="default" w:ascii="Times New Roman" w:hAnsi="Times New Roman" w:eastAsia="仿宋_GB2312" w:cs="Times New Roman"/>
                <w:color w:val="auto"/>
                <w:kern w:val="2"/>
                <w:sz w:val="24"/>
                <w:szCs w:val="24"/>
                <w:highlight w:val="none"/>
                <w:u w:val="none"/>
              </w:rPr>
              <w:t>洛</w:t>
            </w:r>
            <w:r>
              <w:rPr>
                <w:rFonts w:hint="default" w:ascii="Times New Roman" w:hAnsi="Times New Roman" w:eastAsia="仿宋_GB2312" w:cs="Times New Roman"/>
                <w:color w:val="auto"/>
                <w:kern w:val="2"/>
                <w:sz w:val="24"/>
                <w:szCs w:val="24"/>
                <w:highlight w:val="none"/>
                <w:u w:val="none"/>
                <w:lang w:eastAsia="zh-CN"/>
              </w:rPr>
              <w:t>宁经嵩县到汝阳生态环线</w:t>
            </w:r>
            <w:r>
              <w:rPr>
                <w:rFonts w:hint="default" w:ascii="Times New Roman" w:hAnsi="Times New Roman" w:eastAsia="仿宋_GB2312" w:cs="Times New Roman"/>
                <w:color w:val="auto"/>
                <w:kern w:val="2"/>
                <w:sz w:val="24"/>
                <w:szCs w:val="24"/>
                <w:highlight w:val="none"/>
                <w:u w:val="none"/>
              </w:rPr>
              <w:t>高速</w:t>
            </w:r>
            <w:r>
              <w:rPr>
                <w:rFonts w:hint="default" w:ascii="Times New Roman" w:hAnsi="Times New Roman" w:eastAsia="仿宋_GB2312" w:cs="Times New Roman"/>
                <w:color w:val="auto"/>
                <w:kern w:val="2"/>
                <w:sz w:val="24"/>
                <w:szCs w:val="24"/>
                <w:highlight w:val="none"/>
                <w:u w:val="none"/>
                <w:lang w:eastAsia="zh-CN"/>
              </w:rPr>
              <w:t>（</w:t>
            </w:r>
            <w:r>
              <w:rPr>
                <w:rFonts w:hint="default" w:ascii="Times New Roman" w:hAnsi="Times New Roman" w:eastAsia="仿宋_GB2312" w:cs="Times New Roman"/>
                <w:color w:val="auto"/>
                <w:kern w:val="2"/>
                <w:sz w:val="24"/>
                <w:szCs w:val="24"/>
                <w:highlight w:val="none"/>
                <w:u w:val="none"/>
              </w:rPr>
              <w:t>嵩县段</w:t>
            </w:r>
            <w:r>
              <w:rPr>
                <w:rFonts w:hint="default" w:ascii="Times New Roman" w:hAnsi="Times New Roman" w:eastAsia="仿宋_GB2312" w:cs="Times New Roman"/>
                <w:color w:val="auto"/>
                <w:kern w:val="2"/>
                <w:sz w:val="24"/>
                <w:szCs w:val="24"/>
                <w:highlight w:val="none"/>
                <w:u w:val="none"/>
                <w:lang w:eastAsia="zh-CN"/>
              </w:rPr>
              <w:t>）</w:t>
            </w:r>
            <w:r>
              <w:rPr>
                <w:rFonts w:hint="default" w:ascii="Times New Roman" w:hAnsi="Times New Roman" w:eastAsia="仿宋_GB2312" w:cs="Times New Roman"/>
                <w:color w:val="auto"/>
                <w:kern w:val="2"/>
                <w:sz w:val="24"/>
                <w:szCs w:val="24"/>
                <w:highlight w:val="none"/>
                <w:u w:val="none"/>
              </w:rPr>
              <w:t>；1</w:t>
            </w:r>
            <w:r>
              <w:rPr>
                <w:rFonts w:hint="default" w:ascii="Times New Roman" w:hAnsi="Times New Roman" w:eastAsia="仿宋_GB2312" w:cs="Times New Roman"/>
                <w:color w:val="auto"/>
                <w:kern w:val="2"/>
                <w:sz w:val="24"/>
                <w:szCs w:val="24"/>
                <w:highlight w:val="none"/>
                <w:u w:val="none"/>
                <w:lang w:val="en-US" w:eastAsia="zh-CN"/>
              </w:rPr>
              <w:t>0</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eastAsia="zh-CN"/>
              </w:rPr>
              <w:t>谋划</w:t>
            </w:r>
            <w:r>
              <w:rPr>
                <w:rFonts w:hint="default" w:ascii="Times New Roman" w:hAnsi="Times New Roman" w:eastAsia="仿宋_GB2312" w:cs="Times New Roman"/>
                <w:color w:val="auto"/>
                <w:kern w:val="2"/>
                <w:sz w:val="24"/>
                <w:szCs w:val="24"/>
                <w:highlight w:val="none"/>
                <w:u w:val="none"/>
              </w:rPr>
              <w:t>嵩县至内乡高速嵩县段；1</w:t>
            </w:r>
            <w:r>
              <w:rPr>
                <w:rFonts w:hint="default" w:ascii="Times New Roman" w:hAnsi="Times New Roman" w:eastAsia="仿宋_GB2312" w:cs="Times New Roman"/>
                <w:color w:val="auto"/>
                <w:kern w:val="2"/>
                <w:sz w:val="24"/>
                <w:szCs w:val="24"/>
                <w:highlight w:val="none"/>
                <w:u w:val="none"/>
                <w:lang w:val="en-US" w:eastAsia="zh-CN"/>
              </w:rPr>
              <w:t>1</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eastAsia="zh-CN"/>
              </w:rPr>
              <w:t>谋划</w:t>
            </w:r>
            <w:r>
              <w:rPr>
                <w:rFonts w:hint="default" w:ascii="Times New Roman" w:hAnsi="Times New Roman" w:eastAsia="仿宋_GB2312" w:cs="Times New Roman"/>
                <w:color w:val="auto"/>
                <w:kern w:val="2"/>
                <w:sz w:val="24"/>
                <w:szCs w:val="24"/>
                <w:highlight w:val="none"/>
                <w:u w:val="none"/>
              </w:rPr>
              <w:t>渑淅高速（嵩县段）；1</w:t>
            </w:r>
            <w:r>
              <w:rPr>
                <w:rFonts w:hint="default" w:ascii="Times New Roman" w:hAnsi="Times New Roman" w:eastAsia="仿宋_GB2312" w:cs="Times New Roman"/>
                <w:color w:val="auto"/>
                <w:kern w:val="2"/>
                <w:sz w:val="24"/>
                <w:szCs w:val="24"/>
                <w:highlight w:val="none"/>
                <w:u w:val="none"/>
                <w:lang w:val="en-US" w:eastAsia="zh-CN"/>
              </w:rPr>
              <w:t>2</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eastAsia="zh-CN"/>
              </w:rPr>
              <w:t>实施</w:t>
            </w:r>
            <w:r>
              <w:rPr>
                <w:rFonts w:hint="default" w:ascii="Times New Roman" w:hAnsi="Times New Roman" w:eastAsia="仿宋_GB2312" w:cs="Times New Roman"/>
                <w:color w:val="auto"/>
                <w:kern w:val="2"/>
                <w:sz w:val="24"/>
                <w:szCs w:val="24"/>
                <w:highlight w:val="none"/>
                <w:u w:val="none"/>
              </w:rPr>
              <w:t>G344东灵线（原Z001）嵩县陆浑至箭沟河段</w:t>
            </w:r>
            <w:r>
              <w:rPr>
                <w:rFonts w:hint="default" w:ascii="Times New Roman" w:hAnsi="Times New Roman" w:eastAsia="仿宋_GB2312" w:cs="Times New Roman"/>
                <w:color w:val="auto"/>
                <w:kern w:val="2"/>
                <w:sz w:val="24"/>
                <w:szCs w:val="24"/>
                <w:highlight w:val="none"/>
                <w:u w:val="none"/>
                <w:lang w:eastAsia="zh-CN"/>
              </w:rPr>
              <w:t>等干线公路改建提升工程</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val="en-US" w:eastAsia="zh-CN"/>
              </w:rPr>
              <w:t>13</w:t>
            </w:r>
            <w:r>
              <w:rPr>
                <w:rFonts w:hint="default" w:ascii="Times New Roman" w:hAnsi="Times New Roman" w:eastAsia="仿宋_GB2312" w:cs="Times New Roman"/>
                <w:color w:val="auto"/>
                <w:kern w:val="2"/>
                <w:sz w:val="24"/>
                <w:szCs w:val="24"/>
                <w:highlight w:val="none"/>
                <w:u w:val="none"/>
              </w:rPr>
              <w:t>、嵩县新区客运站；</w:t>
            </w:r>
            <w:r>
              <w:rPr>
                <w:rFonts w:hint="default" w:ascii="Times New Roman" w:hAnsi="Times New Roman" w:eastAsia="仿宋_GB2312" w:cs="Times New Roman"/>
                <w:color w:val="auto"/>
                <w:kern w:val="2"/>
                <w:sz w:val="24"/>
                <w:szCs w:val="24"/>
                <w:highlight w:val="none"/>
                <w:u w:val="none"/>
                <w:lang w:val="en-US" w:eastAsia="zh-CN"/>
              </w:rPr>
              <w:t>14</w:t>
            </w:r>
            <w:r>
              <w:rPr>
                <w:rFonts w:hint="default" w:ascii="Times New Roman" w:hAnsi="Times New Roman" w:eastAsia="仿宋_GB2312" w:cs="Times New Roman"/>
                <w:color w:val="auto"/>
                <w:kern w:val="2"/>
                <w:sz w:val="24"/>
                <w:szCs w:val="24"/>
                <w:highlight w:val="none"/>
                <w:u w:val="none"/>
              </w:rPr>
              <w:t>、嵩县城市公交场站；</w:t>
            </w:r>
            <w:r>
              <w:rPr>
                <w:rFonts w:hint="default" w:ascii="Times New Roman" w:hAnsi="Times New Roman" w:eastAsia="仿宋_GB2312" w:cs="Times New Roman"/>
                <w:color w:val="auto"/>
                <w:kern w:val="2"/>
                <w:sz w:val="24"/>
                <w:szCs w:val="24"/>
                <w:highlight w:val="none"/>
                <w:u w:val="none"/>
                <w:lang w:val="en-US" w:eastAsia="zh-CN"/>
              </w:rPr>
              <w:t>15</w:t>
            </w:r>
            <w:r>
              <w:rPr>
                <w:rFonts w:hint="default" w:ascii="Times New Roman" w:hAnsi="Times New Roman" w:eastAsia="仿宋_GB2312" w:cs="Times New Roman"/>
                <w:color w:val="auto"/>
                <w:kern w:val="2"/>
                <w:sz w:val="24"/>
                <w:szCs w:val="24"/>
                <w:highlight w:val="none"/>
                <w:u w:val="none"/>
              </w:rPr>
              <w:t>、洛栾高速陆浑服务区收费站及连接线；</w:t>
            </w:r>
            <w:r>
              <w:rPr>
                <w:rFonts w:hint="default" w:ascii="Times New Roman" w:hAnsi="Times New Roman" w:eastAsia="仿宋_GB2312" w:cs="Times New Roman"/>
                <w:color w:val="auto"/>
                <w:kern w:val="2"/>
                <w:sz w:val="24"/>
                <w:szCs w:val="24"/>
                <w:highlight w:val="none"/>
                <w:u w:val="none"/>
                <w:lang w:val="en-US" w:eastAsia="zh-CN"/>
              </w:rPr>
              <w:t>16</w:t>
            </w:r>
            <w:r>
              <w:rPr>
                <w:rFonts w:hint="default" w:ascii="Times New Roman" w:hAnsi="Times New Roman" w:eastAsia="仿宋_GB2312" w:cs="Times New Roman"/>
                <w:color w:val="auto"/>
                <w:kern w:val="2"/>
                <w:sz w:val="24"/>
                <w:szCs w:val="24"/>
                <w:highlight w:val="none"/>
                <w:u w:val="none"/>
              </w:rPr>
              <w:t>、海事码头建设；</w:t>
            </w:r>
            <w:r>
              <w:rPr>
                <w:rFonts w:hint="default" w:ascii="Times New Roman" w:hAnsi="Times New Roman" w:eastAsia="仿宋_GB2312" w:cs="Times New Roman"/>
                <w:color w:val="auto"/>
                <w:kern w:val="2"/>
                <w:sz w:val="24"/>
                <w:szCs w:val="24"/>
                <w:highlight w:val="none"/>
                <w:u w:val="none"/>
                <w:lang w:val="en-US" w:eastAsia="zh-CN"/>
              </w:rPr>
              <w:t>17</w:t>
            </w:r>
            <w:r>
              <w:rPr>
                <w:rFonts w:hint="default" w:ascii="Times New Roman" w:hAnsi="Times New Roman" w:eastAsia="仿宋_GB2312" w:cs="Times New Roman"/>
                <w:color w:val="auto"/>
                <w:kern w:val="2"/>
                <w:sz w:val="24"/>
                <w:szCs w:val="24"/>
                <w:highlight w:val="none"/>
                <w:u w:val="none"/>
              </w:rPr>
              <w:t>、嵩县农村公路百县通村入组工程；</w:t>
            </w:r>
            <w:r>
              <w:rPr>
                <w:rFonts w:hint="default" w:ascii="Times New Roman" w:hAnsi="Times New Roman" w:eastAsia="仿宋_GB2312" w:cs="Times New Roman"/>
                <w:color w:val="auto"/>
                <w:kern w:val="2"/>
                <w:sz w:val="24"/>
                <w:szCs w:val="24"/>
                <w:highlight w:val="none"/>
                <w:u w:val="none"/>
                <w:lang w:val="en-US" w:eastAsia="zh-CN"/>
              </w:rPr>
              <w:t>18</w:t>
            </w:r>
            <w:r>
              <w:rPr>
                <w:rFonts w:hint="default" w:ascii="Times New Roman" w:hAnsi="Times New Roman" w:eastAsia="仿宋_GB2312" w:cs="Times New Roman"/>
                <w:color w:val="auto"/>
                <w:kern w:val="2"/>
                <w:sz w:val="24"/>
                <w:szCs w:val="24"/>
                <w:highlight w:val="none"/>
                <w:u w:val="none"/>
              </w:rPr>
              <w:t>、</w:t>
            </w:r>
            <w:r>
              <w:rPr>
                <w:rFonts w:hint="default" w:ascii="Times New Roman" w:hAnsi="Times New Roman" w:eastAsia="仿宋_GB2312" w:cs="Times New Roman"/>
                <w:color w:val="auto"/>
                <w:kern w:val="2"/>
                <w:sz w:val="24"/>
                <w:szCs w:val="24"/>
                <w:highlight w:val="none"/>
                <w:u w:val="none"/>
                <w:lang w:eastAsia="zh-CN"/>
              </w:rPr>
              <w:t>嵩县</w:t>
            </w:r>
            <w:r>
              <w:rPr>
                <w:rFonts w:hint="default" w:ascii="Times New Roman" w:hAnsi="Times New Roman" w:eastAsia="仿宋_GB2312" w:cs="Times New Roman"/>
                <w:color w:val="auto"/>
                <w:kern w:val="2"/>
                <w:sz w:val="24"/>
                <w:szCs w:val="24"/>
                <w:highlight w:val="none"/>
                <w:u w:val="none"/>
              </w:rPr>
              <w:t>县</w:t>
            </w:r>
            <w:r>
              <w:rPr>
                <w:rFonts w:hint="default" w:ascii="Times New Roman" w:hAnsi="Times New Roman" w:eastAsia="仿宋_GB2312" w:cs="Times New Roman"/>
                <w:color w:val="auto"/>
                <w:kern w:val="2"/>
                <w:sz w:val="24"/>
                <w:szCs w:val="24"/>
                <w:highlight w:val="none"/>
                <w:u w:val="none"/>
                <w:lang w:eastAsia="zh-CN"/>
              </w:rPr>
              <w:t>乡</w:t>
            </w:r>
            <w:r>
              <w:rPr>
                <w:rFonts w:hint="default" w:ascii="Times New Roman" w:hAnsi="Times New Roman" w:eastAsia="仿宋_GB2312" w:cs="Times New Roman"/>
                <w:color w:val="auto"/>
                <w:kern w:val="2"/>
                <w:sz w:val="24"/>
                <w:szCs w:val="24"/>
                <w:highlight w:val="none"/>
                <w:u w:val="none"/>
              </w:rPr>
              <w:t>道</w:t>
            </w:r>
            <w:r>
              <w:rPr>
                <w:rFonts w:hint="default" w:ascii="Times New Roman" w:hAnsi="Times New Roman" w:eastAsia="仿宋_GB2312" w:cs="Times New Roman"/>
                <w:color w:val="auto"/>
                <w:kern w:val="2"/>
                <w:sz w:val="24"/>
                <w:szCs w:val="24"/>
                <w:highlight w:val="none"/>
                <w:u w:val="none"/>
                <w:lang w:eastAsia="zh-CN"/>
              </w:rPr>
              <w:t>改造提升工程；</w:t>
            </w:r>
            <w:r>
              <w:rPr>
                <w:rFonts w:hint="default" w:ascii="Times New Roman" w:hAnsi="Times New Roman" w:eastAsia="仿宋_GB2312" w:cs="Times New Roman"/>
                <w:color w:val="auto"/>
                <w:kern w:val="2"/>
                <w:sz w:val="24"/>
                <w:szCs w:val="24"/>
                <w:highlight w:val="none"/>
                <w:u w:val="none"/>
                <w:lang w:val="en-US" w:eastAsia="zh-CN"/>
              </w:rPr>
              <w:t>19、环湖道路及绿道建设项目。</w:t>
            </w:r>
          </w:p>
        </w:tc>
      </w:tr>
    </w:tbl>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cs="Times New Roman"/>
          <w:color w:val="auto"/>
        </w:rPr>
      </w:pPr>
      <w:r>
        <w:rPr>
          <w:rFonts w:hint="default" w:ascii="Times New Roman" w:hAnsi="Times New Roman" w:eastAsia="黑体" w:cs="Times New Roman"/>
          <w:b/>
          <w:color w:val="auto"/>
          <w:kern w:val="0"/>
          <w:sz w:val="36"/>
          <w:szCs w:val="36"/>
          <w:lang w:val="en-US" w:eastAsia="zh-CN" w:bidi="ar"/>
        </w:rPr>
        <w:t>第九篇 坚定文化自信，绘就文化建设新篇章</w:t>
      </w:r>
      <w:bookmarkEnd w:id="79"/>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坚持以社会主义核心价值观引领文化建设，加强社会主义精神文明建设，围绕举旗帜、聚民心、育新人、兴文化、展形象的使命任务，促进满足人民文化需求和增强人民精神力量相统一，推进文化强县建设。</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80" w:name="_Toc30299"/>
      <w:r>
        <w:rPr>
          <w:rFonts w:hint="default" w:ascii="Times New Roman" w:hAnsi="Times New Roman" w:eastAsia="黑体" w:cs="Times New Roman"/>
          <w:color w:val="auto"/>
          <w:kern w:val="0"/>
          <w:sz w:val="32"/>
          <w:szCs w:val="32"/>
          <w:lang w:val="en-US" w:eastAsia="zh-CN" w:bidi="ar"/>
        </w:rPr>
        <w:t>第一章 加强社会主义精神文明建设</w:t>
      </w:r>
      <w:bookmarkEnd w:id="80"/>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坚持以社会主义核心价值观为引领，坚持重在建设、以立为本，坚持久久为功，持之以恒，推动形成适应新时代要求的思想观念、精神面貌、文化风尚、行为规范。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81" w:name="_Toc29252"/>
      <w:r>
        <w:rPr>
          <w:rFonts w:hint="default" w:ascii="Times New Roman" w:hAnsi="Times New Roman" w:eastAsia="仿宋_GB2312" w:cs="Times New Roman"/>
          <w:b/>
          <w:color w:val="auto"/>
          <w:kern w:val="0"/>
          <w:sz w:val="32"/>
          <w:szCs w:val="32"/>
          <w:lang w:val="en-US" w:eastAsia="zh-CN" w:bidi="ar"/>
        </w:rPr>
        <w:t>第一节 推进理想信念教育常态化制度化</w:t>
      </w:r>
      <w:bookmarkEnd w:id="81"/>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深入开展习近平新时代中国特色社会主义思想学习教育，加强党史、新中国史、改革开放史、社会主义发展史教育，加强爱国主义、集体主义、社会主义教育，弘扬党和人民在各个历史时期奋斗中形成的伟大精神，推进公民道德建设。开展迈向新时代思想学习教育。深入开展习近平新时代中国特色社会主义思想学习教育，推动形成适应新时代要求的思想观念、精神面貌、文明风尚、行为规范。</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82" w:name="_Toc6809"/>
      <w:r>
        <w:rPr>
          <w:rFonts w:hint="default" w:ascii="Times New Roman" w:hAnsi="Times New Roman" w:eastAsia="仿宋_GB2312" w:cs="Times New Roman"/>
          <w:b/>
          <w:color w:val="auto"/>
          <w:kern w:val="0"/>
          <w:sz w:val="32"/>
          <w:szCs w:val="32"/>
          <w:lang w:val="en-US" w:eastAsia="zh-CN" w:bidi="ar"/>
        </w:rPr>
        <w:t>第二节 壮大主流思想舆论</w:t>
      </w:r>
      <w:bookmarkEnd w:id="82"/>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和落实党管媒体原则，牢牢把握正确舆论方向，实施全媒体传播工程，常态化开展重大主题宣传，唱响中原出彩主旋律，唱响嵩县新人新事。建好嵩县融媒体中心，健全网络正能量传播体系，积极发展健康的网络文化。依托新时代文明实践中心，持续提升“微党课”、“百姓宣讲直通车”宣讲效能，持续推进党的创新理论进机关、进企业、进学校、进社区、进农村。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83" w:name="_Toc28185"/>
      <w:r>
        <w:rPr>
          <w:rFonts w:hint="default" w:ascii="Times New Roman" w:hAnsi="Times New Roman" w:eastAsia="黑体" w:cs="Times New Roman"/>
          <w:color w:val="auto"/>
          <w:kern w:val="0"/>
          <w:sz w:val="32"/>
          <w:szCs w:val="32"/>
          <w:lang w:val="en-US" w:eastAsia="zh-CN" w:bidi="ar"/>
        </w:rPr>
        <w:t>第二章 提升公共文化服务水平</w:t>
      </w:r>
      <w:bookmarkEnd w:id="83"/>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坚持满足人民文化需求和增强人民精神力量相统一，加快构建现代公共文化体系，加快文化人才培养，推动文化事业繁荣。</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84" w:name="_Toc27663"/>
      <w:r>
        <w:rPr>
          <w:rFonts w:hint="default" w:ascii="Times New Roman" w:hAnsi="Times New Roman" w:eastAsia="仿宋_GB2312" w:cs="Times New Roman"/>
          <w:b/>
          <w:color w:val="auto"/>
          <w:kern w:val="0"/>
          <w:sz w:val="32"/>
          <w:szCs w:val="32"/>
          <w:lang w:val="en-US" w:eastAsia="zh-CN" w:bidi="ar"/>
        </w:rPr>
        <w:t>第一节 完善公共文化服务体系建设</w:t>
      </w:r>
      <w:bookmarkEnd w:id="84"/>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推动城乡公共文化服务体系一体建设和示范创建，完善县公共文化设施和乡镇文化站、村（社区）综合文化服务中心等服务网络。推动“四馆一中心”建设，完善乡村综合文化服务中心建设。创新实施文化惠民工程，拓宽政府购买公共文化服务范围，广泛开展群众性文化活动。加快本土特色文化品牌培育。依托二程理学、伊尹文化品牌，带动本土特色文化品牌做大做强。完善非物质文化遗产代表性项目、传承人和传承基地保护体系，加强地方优秀传统手工艺保护和传承。挖掘、整理域内“非遗”项目，建立完善的非物质文化遗产档案资料数据库。提升完善石头部落、水磨村、三合村等乡愁博物馆。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85" w:name="_Toc12032"/>
      <w:r>
        <w:rPr>
          <w:rFonts w:hint="default" w:ascii="Times New Roman" w:hAnsi="Times New Roman" w:eastAsia="仿宋_GB2312" w:cs="Times New Roman"/>
          <w:b/>
          <w:color w:val="auto"/>
          <w:kern w:val="0"/>
          <w:sz w:val="32"/>
          <w:szCs w:val="32"/>
          <w:lang w:val="en-US" w:eastAsia="zh-CN" w:bidi="ar"/>
        </w:rPr>
        <w:t>第二节 加快公共文化人才培养</w:t>
      </w:r>
      <w:bookmarkEnd w:id="85"/>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实施县、乡、村三级公共文化服务人才培养工程，建设管理型、专业型、高素质的人才队伍，提高文化管理员财政补贴，落实乡镇文物保护员的选定与待遇问题，打通公共文化服务最后一公里。加强业务骨干业务技能培训、文艺素养全方位提升培训，大力实施文化馆、图书馆总分馆制建设，保证乡级分馆各类文艺培训常态化开展。围绕戏曲、盘鼓、合唱等各文艺门类，实施“一乡一品”“一村一艺”菜单式培训，培养文艺队伍。支持鼓励社会力量全面参与县、乡、村三级公共文化服务建设，提升公共文化供给能力。</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86" w:name="_Toc32032"/>
      <w:r>
        <w:rPr>
          <w:rFonts w:hint="default" w:ascii="Times New Roman" w:hAnsi="Times New Roman" w:eastAsia="仿宋_GB2312" w:cs="Times New Roman"/>
          <w:b/>
          <w:color w:val="auto"/>
          <w:kern w:val="0"/>
          <w:sz w:val="32"/>
          <w:szCs w:val="32"/>
          <w:lang w:val="en-US" w:eastAsia="zh-CN" w:bidi="ar"/>
        </w:rPr>
        <w:t>第三节 推进公共文化服务数字化建设</w:t>
      </w:r>
      <w:bookmarkEnd w:id="86"/>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lang w:val="en-US" w:eastAsia="zh-CN" w:bidi="ar"/>
        </w:rPr>
        <w:t xml:space="preserve">加快统筹规划全县公共数字文化建设，构建标准统一、互联互通的公共数字文化服务网络，建设公共文化信息资源库，实现基层网络服务共建共享。完善公共文化数字平台，提升公共文化服务传播能力。完善文化馆、图书馆数字平台系统，整合资源，实现公众对全县公共文化信息和产品一站式、多维度获取途径。统筹实施电子图书、文艺作品线上欣赏、文化名人推介、嵩县文化重大项目资源库等重点项目，推进基层公共文化服务云系统建设。探索公共文化服务“互联网 </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”建设，加强公共文化数字资源整合开发，加强多网、多终端应用开发。实现与群众文化需求有效对接。</w:t>
      </w:r>
      <w:r>
        <w:rPr>
          <w:rFonts w:hint="default" w:ascii="Times New Roman" w:hAnsi="Times New Roman" w:eastAsia="仿宋_GB2312" w:cs="Times New Roman"/>
          <w:color w:val="auto"/>
          <w:kern w:val="0"/>
          <w:sz w:val="31"/>
          <w:szCs w:val="31"/>
          <w:lang w:val="en-US" w:eastAsia="zh-CN" w:bidi="ar"/>
        </w:rPr>
        <w:t xml:space="preserve"> </w:t>
      </w:r>
    </w:p>
    <w:tbl>
      <w:tblPr>
        <w:tblStyle w:val="5"/>
        <w:tblpPr w:leftFromText="180" w:rightFromText="180" w:vertAnchor="text" w:horzAnchor="page" w:tblpX="1848"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pPr>
              <w:pStyle w:val="2"/>
              <w:pageBreakBefore w:val="0"/>
              <w:kinsoku/>
              <w:wordWrap/>
              <w:bidi w:val="0"/>
              <w:spacing w:afterAutospacing="0" w:line="580" w:lineRule="exact"/>
              <w:ind w:left="0"/>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方正黑体简体" w:cs="Times New Roman"/>
                <w:b w:val="0"/>
                <w:bCs w:val="0"/>
                <w:color w:val="auto"/>
                <w:sz w:val="30"/>
                <w:szCs w:val="30"/>
                <w:highlight w:val="none"/>
              </w:rPr>
              <w:t>专栏</w:t>
            </w:r>
            <w:r>
              <w:rPr>
                <w:rFonts w:hint="default" w:ascii="Times New Roman" w:hAnsi="Times New Roman" w:eastAsia="方正黑体简体" w:cs="Times New Roman"/>
                <w:b w:val="0"/>
                <w:bCs w:val="0"/>
                <w:color w:val="auto"/>
                <w:sz w:val="30"/>
                <w:szCs w:val="30"/>
                <w:highlight w:val="none"/>
                <w:lang w:val="en-US" w:eastAsia="zh-CN"/>
              </w:rPr>
              <w:t>13</w:t>
            </w:r>
            <w:r>
              <w:rPr>
                <w:rFonts w:hint="default" w:ascii="Times New Roman" w:hAnsi="Times New Roman" w:eastAsia="方正黑体简体" w:cs="Times New Roman"/>
                <w:b w:val="0"/>
                <w:bCs w:val="0"/>
                <w:color w:val="auto"/>
                <w:sz w:val="30"/>
                <w:szCs w:val="30"/>
                <w:highlight w:val="none"/>
              </w:rPr>
              <w:t>：</w:t>
            </w:r>
            <w:r>
              <w:rPr>
                <w:rFonts w:hint="default" w:ascii="Times New Roman" w:hAnsi="Times New Roman" w:eastAsia="方正黑体简体" w:cs="Times New Roman"/>
                <w:b w:val="0"/>
                <w:bCs w:val="0"/>
                <w:color w:val="auto"/>
                <w:sz w:val="30"/>
                <w:szCs w:val="30"/>
                <w:highlight w:val="none"/>
                <w:lang w:eastAsia="zh-CN"/>
              </w:rPr>
              <w:t>“</w:t>
            </w:r>
            <w:r>
              <w:rPr>
                <w:rFonts w:hint="default" w:ascii="Times New Roman" w:hAnsi="Times New Roman" w:eastAsia="方正黑体简体" w:cs="Times New Roman"/>
                <w:b w:val="0"/>
                <w:bCs w:val="0"/>
                <w:color w:val="auto"/>
                <w:sz w:val="30"/>
                <w:szCs w:val="30"/>
                <w:highlight w:val="none"/>
              </w:rPr>
              <w:t>十四五”</w:t>
            </w:r>
            <w:r>
              <w:rPr>
                <w:rFonts w:hint="default" w:ascii="Times New Roman" w:hAnsi="Times New Roman" w:eastAsia="方正黑体简体" w:cs="Times New Roman"/>
                <w:b w:val="0"/>
                <w:bCs w:val="0"/>
                <w:color w:val="auto"/>
                <w:sz w:val="30"/>
                <w:szCs w:val="30"/>
                <w:highlight w:val="none"/>
                <w:lang w:val="en-US"/>
              </w:rPr>
              <w:t>文</w:t>
            </w:r>
            <w:r>
              <w:rPr>
                <w:rFonts w:hint="default" w:ascii="Times New Roman" w:hAnsi="Times New Roman" w:eastAsia="方正黑体简体" w:cs="Times New Roman"/>
                <w:b w:val="0"/>
                <w:bCs w:val="0"/>
                <w:color w:val="auto"/>
                <w:sz w:val="30"/>
                <w:szCs w:val="30"/>
                <w:highlight w:val="none"/>
                <w:lang w:val="en-US" w:eastAsia="zh-CN"/>
              </w:rPr>
              <w:t>化</w:t>
            </w:r>
            <w:r>
              <w:rPr>
                <w:rFonts w:hint="default" w:ascii="Times New Roman" w:hAnsi="Times New Roman" w:eastAsia="方正黑体简体" w:cs="Times New Roman"/>
                <w:b w:val="0"/>
                <w:bCs w:val="0"/>
                <w:color w:val="auto"/>
                <w:sz w:val="30"/>
                <w:szCs w:val="30"/>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Autospacing="0" w:line="440" w:lineRule="exact"/>
              <w:ind w:left="0"/>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color w:val="auto"/>
                <w:sz w:val="24"/>
                <w:szCs w:val="24"/>
                <w:highlight w:val="none"/>
                <w:lang w:val="en-US"/>
              </w:rPr>
              <w:t>1、</w:t>
            </w:r>
            <w:r>
              <w:rPr>
                <w:rFonts w:hint="default" w:ascii="Times New Roman" w:hAnsi="Times New Roman" w:eastAsia="仿宋_GB2312" w:cs="Times New Roman"/>
                <w:color w:val="auto"/>
                <w:sz w:val="24"/>
                <w:szCs w:val="24"/>
                <w:highlight w:val="none"/>
              </w:rPr>
              <w:t>嵩县文化艺术中心项目；</w:t>
            </w:r>
            <w:r>
              <w:rPr>
                <w:rFonts w:hint="default" w:ascii="Times New Roman" w:hAnsi="Times New Roman" w:eastAsia="仿宋_GB2312" w:cs="Times New Roman"/>
                <w:color w:val="auto"/>
                <w:sz w:val="24"/>
                <w:szCs w:val="24"/>
                <w:highlight w:val="none"/>
                <w:lang w:val="en-US"/>
              </w:rPr>
              <w:t>2、</w:t>
            </w:r>
            <w:r>
              <w:rPr>
                <w:rFonts w:hint="default" w:ascii="Times New Roman" w:hAnsi="Times New Roman" w:eastAsia="仿宋_GB2312" w:cs="Times New Roman"/>
                <w:color w:val="auto"/>
                <w:sz w:val="24"/>
                <w:szCs w:val="24"/>
                <w:highlight w:val="none"/>
              </w:rPr>
              <w:t>嵩县乡镇综合文化站提升项目；</w:t>
            </w:r>
            <w:r>
              <w:rPr>
                <w:rFonts w:hint="default" w:ascii="Times New Roman" w:hAnsi="Times New Roman" w:eastAsia="仿宋_GB2312" w:cs="Times New Roman"/>
                <w:color w:val="auto"/>
                <w:sz w:val="24"/>
                <w:szCs w:val="24"/>
                <w:highlight w:val="none"/>
                <w:lang w:val="en-US"/>
              </w:rPr>
              <w:t>3、</w:t>
            </w:r>
            <w:r>
              <w:rPr>
                <w:rFonts w:hint="default" w:ascii="Times New Roman" w:hAnsi="Times New Roman" w:eastAsia="仿宋_GB2312" w:cs="Times New Roman"/>
                <w:color w:val="auto"/>
                <w:sz w:val="24"/>
                <w:szCs w:val="24"/>
                <w:highlight w:val="none"/>
              </w:rPr>
              <w:t>嵩县村级综合性文化服务中心提升项目；</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乡愁博物馆</w:t>
            </w:r>
            <w:r>
              <w:rPr>
                <w:rFonts w:hint="default" w:ascii="Times New Roman" w:hAnsi="Times New Roman" w:eastAsia="仿宋_GB2312" w:cs="Times New Roman"/>
                <w:color w:val="auto"/>
                <w:sz w:val="24"/>
                <w:szCs w:val="24"/>
                <w:highlight w:val="none"/>
                <w:lang w:eastAsia="zh-CN"/>
              </w:rPr>
              <w:t>建设。</w:t>
            </w:r>
          </w:p>
        </w:tc>
      </w:tr>
    </w:tbl>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cs="Times New Roman"/>
          <w:color w:val="auto"/>
        </w:rPr>
      </w:pPr>
      <w:bookmarkStart w:id="87" w:name="_Toc9626"/>
      <w:r>
        <w:rPr>
          <w:rFonts w:hint="default" w:ascii="Times New Roman" w:hAnsi="Times New Roman" w:eastAsia="黑体" w:cs="Times New Roman"/>
          <w:b/>
          <w:color w:val="auto"/>
          <w:kern w:val="0"/>
          <w:sz w:val="36"/>
          <w:szCs w:val="36"/>
          <w:lang w:val="en-US" w:eastAsia="zh-CN" w:bidi="ar"/>
        </w:rPr>
        <w:t>第十篇 坚持绿色发展，打造地绿水美天蓝新家园</w:t>
      </w:r>
      <w:bookmarkEnd w:id="87"/>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坚持绿水青山就是金山银山理念，遵循洛阳市南部生态涵养区定位，深入实施可持续发展战略，构筑一体协同的生态大格局，促进嵩县经济社会发展绿色转型，建设支撑洛阳都市圈绿色发展的生态绿屏。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88" w:name="_Toc11405"/>
      <w:r>
        <w:rPr>
          <w:rFonts w:hint="default" w:ascii="Times New Roman" w:hAnsi="Times New Roman" w:eastAsia="黑体" w:cs="Times New Roman"/>
          <w:color w:val="auto"/>
          <w:kern w:val="0"/>
          <w:sz w:val="32"/>
          <w:szCs w:val="32"/>
          <w:lang w:val="en-US" w:eastAsia="zh-CN" w:bidi="ar"/>
        </w:rPr>
        <w:t>第一章 构建生态安全格局</w:t>
      </w:r>
      <w:bookmarkEnd w:id="88"/>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依托县域主要河流、交通干道分布、自然保护区与主要风景旅游区，建立生态安全控制区、生态安全廊道、生态关键节点三级生态安全框架。</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89" w:name="_Toc11193"/>
      <w:r>
        <w:rPr>
          <w:rFonts w:hint="default" w:ascii="Times New Roman" w:hAnsi="Times New Roman" w:eastAsia="仿宋_GB2312" w:cs="Times New Roman"/>
          <w:b/>
          <w:color w:val="auto"/>
          <w:kern w:val="0"/>
          <w:sz w:val="32"/>
          <w:szCs w:val="32"/>
          <w:lang w:val="en-US" w:eastAsia="zh-CN" w:bidi="ar"/>
        </w:rPr>
        <w:t>第一节 优化国土空间格局</w:t>
      </w:r>
      <w:bookmarkEnd w:id="89"/>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生态安全控制区。</w:t>
      </w:r>
      <w:r>
        <w:rPr>
          <w:rFonts w:hint="default" w:ascii="Times New Roman" w:hAnsi="Times New Roman" w:eastAsia="仿宋_GB2312" w:cs="Times New Roman"/>
          <w:color w:val="auto"/>
          <w:kern w:val="0"/>
          <w:sz w:val="32"/>
          <w:szCs w:val="32"/>
          <w:lang w:val="en-US" w:eastAsia="zh-CN" w:bidi="ar"/>
        </w:rPr>
        <w:t xml:space="preserve">依托“一库”“三区”“三山”建设形成生态安全控制区。“一库”即陆浑水库，“三区”即熊耳山省级自然保护区、伏牛山国家级自然保护区和外方山生态保护区；“三山”即白云山风景区、天池山风景区和木札岭风景区。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生态安全廊道。</w:t>
      </w:r>
      <w:r>
        <w:rPr>
          <w:rFonts w:hint="default" w:ascii="Times New Roman" w:hAnsi="Times New Roman" w:eastAsia="仿宋_GB2312" w:cs="Times New Roman"/>
          <w:color w:val="auto"/>
          <w:kern w:val="0"/>
          <w:sz w:val="32"/>
          <w:szCs w:val="32"/>
          <w:lang w:val="en-US" w:eastAsia="zh-CN" w:bidi="ar"/>
        </w:rPr>
        <w:t>以沿伊河、汝河、白河生态廊道和沿洛栾高速、尧栾西高速、陆车路等道路生态廊道为轴带，构建生态安全廊道。</w:t>
      </w:r>
      <w:r>
        <w:rPr>
          <w:rFonts w:hint="default" w:ascii="Times New Roman" w:hAnsi="Times New Roman" w:eastAsia="仿宋_GB2312" w:cs="Times New Roman"/>
          <w:b/>
          <w:color w:val="auto"/>
          <w:kern w:val="0"/>
          <w:sz w:val="32"/>
          <w:szCs w:val="32"/>
          <w:lang w:val="en-US" w:eastAsia="zh-CN" w:bidi="ar"/>
        </w:rPr>
        <w:t>重要生态关键节点。</w:t>
      </w:r>
      <w:r>
        <w:rPr>
          <w:rFonts w:hint="default" w:ascii="Times New Roman" w:hAnsi="Times New Roman" w:eastAsia="仿宋_GB2312" w:cs="Times New Roman"/>
          <w:color w:val="auto"/>
          <w:kern w:val="0"/>
          <w:sz w:val="32"/>
          <w:szCs w:val="32"/>
          <w:lang w:val="en-US" w:eastAsia="zh-CN" w:bidi="ar"/>
        </w:rPr>
        <w:t xml:space="preserve">以河流廊道交汇处、道路廊道交叉口处、主要道路出入城区衔接处为生态建设重点，构建自然生态体系的重要节点。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90" w:name="_Toc29334"/>
      <w:r>
        <w:rPr>
          <w:rFonts w:hint="default" w:ascii="Times New Roman" w:hAnsi="Times New Roman" w:eastAsia="仿宋_GB2312" w:cs="Times New Roman"/>
          <w:b/>
          <w:color w:val="auto"/>
          <w:kern w:val="0"/>
          <w:sz w:val="32"/>
          <w:szCs w:val="32"/>
          <w:lang w:val="en-US" w:eastAsia="zh-CN" w:bidi="ar"/>
        </w:rPr>
        <w:t>第二节 严格生态控制红线</w:t>
      </w:r>
      <w:bookmarkEnd w:id="90"/>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划定生态保护红线面积 </w:t>
      </w:r>
      <w:r>
        <w:rPr>
          <w:rFonts w:hint="default" w:ascii="Times New Roman" w:hAnsi="Times New Roman" w:eastAsia="宋体" w:cs="Times New Roman"/>
          <w:color w:val="auto"/>
          <w:kern w:val="0"/>
          <w:sz w:val="32"/>
          <w:szCs w:val="32"/>
          <w:lang w:val="en-US" w:eastAsia="zh-CN" w:bidi="ar"/>
        </w:rPr>
        <w:t xml:space="preserve">541.42 </w:t>
      </w:r>
      <w:r>
        <w:rPr>
          <w:rFonts w:hint="default" w:ascii="Times New Roman" w:hAnsi="Times New Roman" w:eastAsia="仿宋_GB2312" w:cs="Times New Roman"/>
          <w:color w:val="auto"/>
          <w:kern w:val="0"/>
          <w:sz w:val="32"/>
          <w:szCs w:val="32"/>
          <w:lang w:val="en-US" w:eastAsia="zh-CN" w:bidi="ar"/>
        </w:rPr>
        <w:t>平方公里，占全县国土面积</w:t>
      </w:r>
      <w:r>
        <w:rPr>
          <w:rFonts w:hint="default" w:ascii="Times New Roman" w:hAnsi="Times New Roman" w:eastAsia="宋体" w:cs="Times New Roman"/>
          <w:color w:val="auto"/>
          <w:kern w:val="0"/>
          <w:sz w:val="32"/>
          <w:szCs w:val="32"/>
          <w:lang w:val="en-US" w:eastAsia="zh-CN" w:bidi="ar"/>
        </w:rPr>
        <w:t>18%</w:t>
      </w:r>
      <w:r>
        <w:rPr>
          <w:rFonts w:hint="default" w:ascii="Times New Roman" w:hAnsi="Times New Roman" w:eastAsia="仿宋_GB2312" w:cs="Times New Roman"/>
          <w:color w:val="auto"/>
          <w:kern w:val="0"/>
          <w:sz w:val="32"/>
          <w:szCs w:val="32"/>
          <w:lang w:val="en-US" w:eastAsia="zh-CN" w:bidi="ar"/>
        </w:rPr>
        <w:t xml:space="preserve">，包括饮用水水源地、自然保护地、公益林、生态功能极重要区及生态功能极敏感脆弱区。将陆浑水库水源地、伏牛山国家级自然保护区、熊耳山省级自然保护区和外方山生态保护区等划入生态保护红线，对于涵养水源，改善局地气候具有重要作用，且一般位于生态高敏感区域和极高敏感区域，均划入红线保护区范围之内。牢固树立底线意识，强化用途管制，生态保护红线原则上按禁止开发区域的要求进行管理，严禁不符合主体功能定位的各类开发活动，严禁任意改变用途。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eastAsia="黑体" w:cs="Times New Roman"/>
          <w:color w:val="auto"/>
          <w:kern w:val="0"/>
          <w:sz w:val="32"/>
          <w:szCs w:val="32"/>
          <w:lang w:val="en-US" w:eastAsia="zh-CN" w:bidi="ar"/>
        </w:rPr>
      </w:pPr>
      <w:bookmarkStart w:id="91" w:name="_Toc3985"/>
      <w:r>
        <w:rPr>
          <w:rFonts w:hint="default" w:ascii="Times New Roman" w:hAnsi="Times New Roman" w:eastAsia="黑体" w:cs="Times New Roman"/>
          <w:color w:val="auto"/>
          <w:kern w:val="0"/>
          <w:sz w:val="32"/>
          <w:szCs w:val="32"/>
          <w:lang w:val="en-US" w:eastAsia="zh-CN" w:bidi="ar"/>
        </w:rPr>
        <w:t>加快生态修复整治</w:t>
      </w:r>
      <w:bookmarkEnd w:id="91"/>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统筹推进山水林田湖草沙综合治理、系统治理、源头治理，构建以山体修复、矿山修复、水域修复、林地修复、农田修复和生物多样性修复为主导的生态环境治理体系。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92" w:name="_Toc26590"/>
      <w:r>
        <w:rPr>
          <w:rFonts w:hint="default" w:ascii="Times New Roman" w:hAnsi="Times New Roman" w:eastAsia="仿宋_GB2312" w:cs="Times New Roman"/>
          <w:b/>
          <w:color w:val="auto"/>
          <w:kern w:val="0"/>
          <w:sz w:val="32"/>
          <w:szCs w:val="32"/>
          <w:lang w:val="en-US" w:eastAsia="zh-CN" w:bidi="ar"/>
        </w:rPr>
        <w:t>第一节 加快国土资源治理修复</w:t>
      </w:r>
      <w:bookmarkEnd w:id="92"/>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加快全县国土生态修复整治，形成</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整体保护、系统修复、区域统筹、综合治理</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的生态修复工作格局，为经济社会永续发展提供支撑。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山体修复。</w:t>
      </w:r>
      <w:r>
        <w:rPr>
          <w:rFonts w:hint="default" w:ascii="Times New Roman" w:hAnsi="Times New Roman" w:eastAsia="仿宋_GB2312" w:cs="Times New Roman"/>
          <w:color w:val="auto"/>
          <w:kern w:val="0"/>
          <w:sz w:val="32"/>
          <w:szCs w:val="32"/>
          <w:lang w:val="en-US" w:eastAsia="zh-CN" w:bidi="ar"/>
        </w:rPr>
        <w:t>包括伏牛山、熊耳山与外方山修复整治。伏牛山主要加大森林资源保护与抚育力度，改善山体生态保育和生态涵养功能；逐步清退位于敏感区内的耕地，降低人类活动对自然本底的影响；合理开发利用世界地质公园、国家级自然保护区，严格控制开发强度；建立完善的水土保持预防监督体系和水土流失动态监测网络。熊耳山与外方山主要适度合理开发利用熊耳山省级自然保护区、天池山景区等自然景观资源；强化水土流失治理，对矿产浮选企业加强监管。</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矿山修复。</w:t>
      </w:r>
      <w:r>
        <w:rPr>
          <w:rFonts w:hint="default" w:ascii="Times New Roman" w:hAnsi="Times New Roman" w:eastAsia="仿宋_GB2312" w:cs="Times New Roman"/>
          <w:color w:val="auto"/>
          <w:kern w:val="0"/>
          <w:sz w:val="32"/>
          <w:szCs w:val="32"/>
          <w:lang w:val="en-US" w:eastAsia="zh-CN" w:bidi="ar"/>
        </w:rPr>
        <w:t xml:space="preserve">矿山企业要按照“管理规范化、资源利用高效化、生产工艺环保化、矿山环境生态化、矿地关系和谐化”的总体要求，按照绿色矿山建设标准进行建设和运营管理。对既有矿山，按照“谁开采、谁治理、边开采、边治理”的原则，严格按照绿色矿山建设的标准，落实环境影响评价报告、地质环境保护与土地复垦方案和水土保持方案等设计标准和批复要求，认真开展生态修复，坚决恢复绿水青山。新建和在建矿山，必须达到绿色矿山建设验收标准后方能投产运行。加强矿山、尾矿库退出后生态恢复管理，建立矿山地质环境动态监测网，按照“宜林则林、宜耕则耕、宜园则园”的原则，加快推进废弃矿山、尾矿库的生态修复工作，全面改善矿区生态环境。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水域修复。</w:t>
      </w:r>
      <w:r>
        <w:rPr>
          <w:rFonts w:hint="default" w:ascii="Times New Roman" w:hAnsi="Times New Roman" w:eastAsia="仿宋_GB2312" w:cs="Times New Roman"/>
          <w:color w:val="auto"/>
          <w:kern w:val="0"/>
          <w:sz w:val="32"/>
          <w:szCs w:val="32"/>
          <w:lang w:val="en-US" w:eastAsia="zh-CN" w:bidi="ar"/>
        </w:rPr>
        <w:t>整治陆浑水库环湖村庄，改善水库周边生态环境，封育管护疏幼林地和轻度流失的荒山荒坡，促进生态自我修复，关闭取缔生产技术落后和污染严重的矿产资源开发项目和影响水库水源地水质的工业企业。保护和恢复陆浑水库的优良水质资源及湿地生态系统，建设陆浑湿地公园，有效发挥陆浑湖湿地涵养水源、灌溉、保护生物多样性等生态效益。结合“四河同治”工程推进小流域治理与恢复，实施截污治污、河道整治、路网改善、游园建设等为重点的综合治理，实现伊河、汝河和白河</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水清、岸绿、路畅</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林地修复。</w:t>
      </w:r>
      <w:r>
        <w:rPr>
          <w:rFonts w:hint="default" w:ascii="Times New Roman" w:hAnsi="Times New Roman" w:eastAsia="仿宋_GB2312" w:cs="Times New Roman"/>
          <w:color w:val="auto"/>
          <w:kern w:val="0"/>
          <w:sz w:val="32"/>
          <w:szCs w:val="32"/>
          <w:lang w:val="en-US" w:eastAsia="zh-CN" w:bidi="ar"/>
        </w:rPr>
        <w:t>建设“线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面</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网”森林生态网络格局，构建沿路沿水林绿带，形成兼具生态防护与美化景观功能的绿色廊道；加强生态源地森林建设，加大封山育林、中幼林抚育、低质低效林改造力度，推进生态涵养林、生态防护林体系、河岸湖岸植物群落系统等工程建设，发挥森林生态效益。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农田修复。</w:t>
      </w:r>
      <w:r>
        <w:rPr>
          <w:rFonts w:hint="default" w:ascii="Times New Roman" w:hAnsi="Times New Roman" w:eastAsia="仿宋_GB2312" w:cs="Times New Roman"/>
          <w:color w:val="auto"/>
          <w:kern w:val="0"/>
          <w:sz w:val="32"/>
          <w:szCs w:val="32"/>
          <w:lang w:val="en-US" w:eastAsia="zh-CN" w:bidi="ar"/>
        </w:rPr>
        <w:t xml:space="preserve">调整农业产业结构，发展高效设施农业、生态农业。控制农业面源污染，营造山乡农业田园风光。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生物多样性。</w:t>
      </w:r>
      <w:r>
        <w:rPr>
          <w:rFonts w:hint="default" w:ascii="Times New Roman" w:hAnsi="Times New Roman" w:eastAsia="仿宋_GB2312" w:cs="Times New Roman"/>
          <w:color w:val="auto"/>
          <w:kern w:val="0"/>
          <w:sz w:val="32"/>
          <w:szCs w:val="32"/>
          <w:lang w:val="en-US" w:eastAsia="zh-CN" w:bidi="ar"/>
        </w:rPr>
        <w:t xml:space="preserve">保护伏牛山区、熊耳山和外方山自然保护区，陆浑水库及其周边湿地保护区生物多样性。遵循生物本地化的原则，优先选择本地物种，综合考虑植物、动物与微生物的相互作用。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93" w:name="_Toc1384"/>
      <w:r>
        <w:rPr>
          <w:rFonts w:hint="default" w:ascii="Times New Roman" w:hAnsi="Times New Roman" w:eastAsia="仿宋_GB2312" w:cs="Times New Roman"/>
          <w:b/>
          <w:color w:val="auto"/>
          <w:kern w:val="0"/>
          <w:sz w:val="32"/>
          <w:szCs w:val="32"/>
          <w:lang w:val="en-US" w:eastAsia="zh-CN" w:bidi="ar"/>
        </w:rPr>
        <w:t>第二节 推进污染综合治理</w:t>
      </w:r>
      <w:bookmarkEnd w:id="93"/>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坚持防治并举，强化源头控制，统筹推进以大气、水和土壤为重点的污染综合治理。</w:t>
      </w:r>
      <w:r>
        <w:rPr>
          <w:rFonts w:hint="default" w:ascii="Times New Roman" w:hAnsi="Times New Roman" w:eastAsia="仿宋_GB2312" w:cs="Times New Roman"/>
          <w:b/>
          <w:color w:val="auto"/>
          <w:kern w:val="0"/>
          <w:sz w:val="32"/>
          <w:szCs w:val="32"/>
          <w:lang w:val="en-US" w:eastAsia="zh-CN" w:bidi="ar"/>
        </w:rPr>
        <w:t>打赢蓝天保卫战。</w:t>
      </w:r>
      <w:r>
        <w:rPr>
          <w:rFonts w:hint="default" w:ascii="Times New Roman" w:hAnsi="Times New Roman" w:eastAsia="仿宋_GB2312" w:cs="Times New Roman"/>
          <w:color w:val="auto"/>
          <w:kern w:val="0"/>
          <w:sz w:val="32"/>
          <w:szCs w:val="32"/>
          <w:lang w:val="en-US" w:eastAsia="zh-CN" w:bidi="ar"/>
        </w:rPr>
        <w:t xml:space="preserve">围绕产业结构调整优化、工业企业绿色升级、城乡扬尘全面清洁等重点工作实施网格化管理，以“三铁”抓“三散”，强化多污染物协同控制和区域协同治理，力争 </w:t>
      </w:r>
      <w:r>
        <w:rPr>
          <w:rFonts w:hint="default" w:ascii="Times New Roman" w:hAnsi="Times New Roman" w:eastAsia="宋体" w:cs="Times New Roman"/>
          <w:color w:val="auto"/>
          <w:kern w:val="0"/>
          <w:sz w:val="32"/>
          <w:szCs w:val="32"/>
          <w:lang w:val="en-US" w:eastAsia="zh-CN" w:bidi="ar"/>
        </w:rPr>
        <w:t>PM2.5</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 xml:space="preserve">PM10 </w:t>
      </w:r>
      <w:r>
        <w:rPr>
          <w:rFonts w:hint="default" w:ascii="Times New Roman" w:hAnsi="Times New Roman" w:eastAsia="仿宋_GB2312" w:cs="Times New Roman"/>
          <w:color w:val="auto"/>
          <w:kern w:val="0"/>
          <w:sz w:val="32"/>
          <w:szCs w:val="32"/>
          <w:lang w:val="en-US" w:eastAsia="zh-CN" w:bidi="ar"/>
        </w:rPr>
        <w:t>平均浓度持续下降，空气质量优良天数不断提升，实现蓝天白云繁星闪烁。</w:t>
      </w:r>
      <w:r>
        <w:rPr>
          <w:rFonts w:hint="default" w:ascii="Times New Roman" w:hAnsi="Times New Roman" w:eastAsia="仿宋_GB2312" w:cs="Times New Roman"/>
          <w:b/>
          <w:color w:val="auto"/>
          <w:kern w:val="0"/>
          <w:sz w:val="32"/>
          <w:szCs w:val="32"/>
          <w:lang w:val="en-US" w:eastAsia="zh-CN" w:bidi="ar"/>
        </w:rPr>
        <w:t>打赢碧水攻坚战。</w:t>
      </w:r>
      <w:r>
        <w:rPr>
          <w:rFonts w:hint="default" w:ascii="Times New Roman" w:hAnsi="Times New Roman" w:eastAsia="仿宋_GB2312" w:cs="Times New Roman"/>
          <w:color w:val="auto"/>
          <w:kern w:val="0"/>
          <w:sz w:val="32"/>
          <w:szCs w:val="32"/>
          <w:lang w:val="en-US" w:eastAsia="zh-CN" w:bidi="ar"/>
        </w:rPr>
        <w:t>全面启动中小河流清淤疏浚、生态修复工作，加快开展重义河治理，打造重义河湿地公园。启动前河电站水系治理。深化“百米河长制”“河长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警长</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检察长”制度，积极开展“万人护河”活动。深入开展排污口整治，做好污水处理“提质增效”三年行动，保护好陆浑水源地，实现清水绿岸鱼翔浅底。</w:t>
      </w:r>
      <w:r>
        <w:rPr>
          <w:rFonts w:hint="default" w:ascii="Times New Roman" w:hAnsi="Times New Roman" w:eastAsia="仿宋_GB2312" w:cs="Times New Roman"/>
          <w:b/>
          <w:color w:val="auto"/>
          <w:kern w:val="0"/>
          <w:sz w:val="32"/>
          <w:szCs w:val="32"/>
          <w:lang w:val="en-US" w:eastAsia="zh-CN" w:bidi="ar"/>
        </w:rPr>
        <w:t>打好净土保卫战。</w:t>
      </w:r>
      <w:r>
        <w:rPr>
          <w:rFonts w:hint="default" w:ascii="Times New Roman" w:hAnsi="Times New Roman" w:eastAsia="仿宋_GB2312" w:cs="Times New Roman"/>
          <w:color w:val="auto"/>
          <w:kern w:val="0"/>
          <w:sz w:val="32"/>
          <w:szCs w:val="32"/>
          <w:lang w:val="en-US" w:eastAsia="zh-CN" w:bidi="ar"/>
        </w:rPr>
        <w:t xml:space="preserve">严格监管各类土壤污染源，推进化肥农药减量化和土壤污染治理，加强白色污染治理，防治农业面源污染。持续开展叠翠山、大禹山、三涂山、玉皇山、玉泉山、御龙山绿化工程，积极申创省级森林乡村。开展涉重金属企业排查整治，进一步加大尾矿库监管力度。实施化肥农药零增长行动。严格监管各类土壤污染源，防治农业面源污染，最终实现田园风光，鸟语花香。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94" w:name="_Toc23780"/>
      <w:r>
        <w:rPr>
          <w:rFonts w:hint="default" w:ascii="Times New Roman" w:hAnsi="Times New Roman" w:eastAsia="黑体" w:cs="Times New Roman"/>
          <w:color w:val="auto"/>
          <w:kern w:val="0"/>
          <w:sz w:val="32"/>
          <w:szCs w:val="32"/>
          <w:lang w:val="en-US" w:eastAsia="zh-CN" w:bidi="ar"/>
        </w:rPr>
        <w:t>第三章 提高绿色发展水平</w:t>
      </w:r>
      <w:bookmarkEnd w:id="94"/>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深入调整优化产业结构、能源结构、资源结构、用地结构和农业投入结构，推进资源总量管理、科学配置，全面节约和循环利用，加强绿色技术创新，打造绿色低碳循环发展经济体系。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95" w:name="_Toc7124"/>
      <w:r>
        <w:rPr>
          <w:rFonts w:hint="default" w:ascii="Times New Roman" w:hAnsi="Times New Roman" w:eastAsia="仿宋_GB2312" w:cs="Times New Roman"/>
          <w:b/>
          <w:color w:val="auto"/>
          <w:kern w:val="0"/>
          <w:sz w:val="32"/>
          <w:szCs w:val="32"/>
          <w:lang w:val="en-US" w:eastAsia="zh-CN" w:bidi="ar"/>
        </w:rPr>
        <w:t>第一节 持续降低碳排放强度</w:t>
      </w:r>
      <w:bookmarkEnd w:id="95"/>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实施碳排放达峰行动方案。</w:t>
      </w:r>
      <w:r>
        <w:rPr>
          <w:rFonts w:hint="default" w:ascii="Times New Roman" w:hAnsi="Times New Roman" w:eastAsia="仿宋_GB2312" w:cs="Times New Roman"/>
          <w:color w:val="auto"/>
          <w:kern w:val="0"/>
          <w:sz w:val="32"/>
          <w:szCs w:val="32"/>
          <w:lang w:val="en-US" w:eastAsia="zh-CN" w:bidi="ar"/>
        </w:rPr>
        <w:t xml:space="preserve">实施以碳强度控制为主、碳排放总量为辅的制度，推进大气污染与温室气体协同减排，力争在洛阳市范围内率先实现碳达峰、碳中和刚性目标。加快重点领域低碳技术研发和产业化示范，引导企业自愿减排温室气体。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大力发展清洁能源。</w:t>
      </w:r>
      <w:r>
        <w:rPr>
          <w:rFonts w:hint="default" w:ascii="Times New Roman" w:hAnsi="Times New Roman" w:eastAsia="仿宋_GB2312" w:cs="Times New Roman"/>
          <w:color w:val="auto"/>
          <w:kern w:val="0"/>
          <w:sz w:val="32"/>
          <w:szCs w:val="32"/>
          <w:lang w:val="en-US" w:eastAsia="zh-CN" w:bidi="ar"/>
        </w:rPr>
        <w:t xml:space="preserve">积极推广煤炭清洁利用技术，加快天然气管网建设，合理布局加气站、充电桩，推广使用新能源汽车，提高清洁能源使用率。进一步加强白色污染治理，有序落实全县塑料制品生产、流通、消费和回收处置等环节的相关制度，逐渐推广可循环可降解的替代产品，有效控制白色污染对嵩县生态环境的破坏。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96" w:name="_Toc19915"/>
      <w:r>
        <w:rPr>
          <w:rFonts w:hint="default" w:ascii="Times New Roman" w:hAnsi="Times New Roman" w:eastAsia="仿宋_GB2312" w:cs="Times New Roman"/>
          <w:b/>
          <w:color w:val="auto"/>
          <w:kern w:val="0"/>
          <w:sz w:val="32"/>
          <w:szCs w:val="32"/>
          <w:lang w:val="en-US" w:eastAsia="zh-CN" w:bidi="ar"/>
        </w:rPr>
        <w:t>第二节 加快生产生活方式绿色转型</w:t>
      </w:r>
      <w:bookmarkEnd w:id="96"/>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推进绿色生产。</w:t>
      </w:r>
      <w:r>
        <w:rPr>
          <w:rFonts w:hint="default" w:ascii="Times New Roman" w:hAnsi="Times New Roman" w:eastAsia="仿宋_GB2312" w:cs="Times New Roman"/>
          <w:color w:val="auto"/>
          <w:kern w:val="0"/>
          <w:sz w:val="32"/>
          <w:szCs w:val="32"/>
          <w:lang w:val="en-US" w:eastAsia="zh-CN" w:bidi="ar"/>
        </w:rPr>
        <w:t xml:space="preserve">开展重大产业布局环境影响评价和重大环境政策经济社会影响评估，完善生态环境分区管控机制。全面建设绿色矿山，推广绿色建筑，提倡装配式、可循环利用的建筑方式。打好生态环保组合拳，实施企业分类管控措施，加快淘汰出清落后产能，倒逼企业转型发展，提高绿色发展水平。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倡导绿色生活方式。</w:t>
      </w:r>
      <w:r>
        <w:rPr>
          <w:rFonts w:hint="default" w:ascii="Times New Roman" w:hAnsi="Times New Roman" w:eastAsia="仿宋_GB2312" w:cs="Times New Roman"/>
          <w:color w:val="auto"/>
          <w:kern w:val="0"/>
          <w:sz w:val="32"/>
          <w:szCs w:val="32"/>
          <w:lang w:val="en-US" w:eastAsia="zh-CN" w:bidi="ar"/>
        </w:rPr>
        <w:t xml:space="preserve">深入开展节约型机关、绿色家庭、绿色学校、绿色社区创建活动。引导企业自愿减排温室气体，持续开展低碳城市、低碳园区、低碳社区、低碳工程试点创建。加强碳减排统计、核查、监管等基础能力建设。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97" w:name="_Toc28353"/>
      <w:r>
        <w:rPr>
          <w:rFonts w:hint="default" w:ascii="Times New Roman" w:hAnsi="Times New Roman" w:eastAsia="黑体" w:cs="Times New Roman"/>
          <w:color w:val="auto"/>
          <w:kern w:val="0"/>
          <w:sz w:val="32"/>
          <w:szCs w:val="32"/>
          <w:lang w:val="en-US" w:eastAsia="zh-CN" w:bidi="ar"/>
        </w:rPr>
        <w:t>第四章 创建国家森林城市</w:t>
      </w:r>
      <w:bookmarkEnd w:id="97"/>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立足嵩县生态优势，厚植发展优势，放大比较优势，开创先行优势，以城郊森林公园建设和环湖生态产业带建设为重点，加快创建国家森林城市。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98" w:name="_Toc7614"/>
      <w:r>
        <w:rPr>
          <w:rFonts w:hint="default" w:ascii="Times New Roman" w:hAnsi="Times New Roman" w:eastAsia="仿宋_GB2312" w:cs="Times New Roman"/>
          <w:b/>
          <w:color w:val="auto"/>
          <w:kern w:val="0"/>
          <w:sz w:val="32"/>
          <w:szCs w:val="32"/>
          <w:lang w:val="en-US" w:eastAsia="zh-CN" w:bidi="ar"/>
        </w:rPr>
        <w:t>第一节 持续推进城郊森林公园建设</w:t>
      </w:r>
      <w:bookmarkEnd w:id="98"/>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环城以城郊森林公园、郊野公园建设为重点，打造融休闲健身、康养旅游、文化传播为一体的森林公园。建成叠翠山森林康养公园、玉泉山植物园、凤凰山摄影基地、三涂山文化公园、马驹岭农耕文化园，提升玉皇山森林公园绿化水平。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99" w:name="_Toc30681"/>
      <w:r>
        <w:rPr>
          <w:rFonts w:hint="default" w:ascii="Times New Roman" w:hAnsi="Times New Roman" w:eastAsia="仿宋_GB2312" w:cs="Times New Roman"/>
          <w:b/>
          <w:color w:val="auto"/>
          <w:kern w:val="0"/>
          <w:sz w:val="32"/>
          <w:szCs w:val="32"/>
          <w:lang w:val="en-US" w:eastAsia="zh-CN" w:bidi="ar"/>
        </w:rPr>
        <w:t>第二节 加快环湖生态产业带建设</w:t>
      </w:r>
      <w:bookmarkEnd w:id="99"/>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环湖以建设林业生态产业带为目标，实施环湖退耕还林，大力营造生态经济林、珍贵用材林、林果采摘园等，充分发挥森林多功能效益，大力提升环湖生态圈综合收益。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0" w:type="dxa"/>
            <w:noWrap w:val="0"/>
            <w:vAlign w:val="top"/>
          </w:tcPr>
          <w:p>
            <w:pPr>
              <w:pStyle w:val="12"/>
              <w:pageBreakBefore w:val="0"/>
              <w:kinsoku/>
              <w:wordWrap/>
              <w:bidi w:val="0"/>
              <w:spacing w:beforeAutospacing="0" w:afterAutospacing="0" w:line="580" w:lineRule="exact"/>
              <w:ind w:left="0"/>
              <w:jc w:val="center"/>
              <w:rPr>
                <w:rFonts w:hint="default" w:ascii="Times New Roman" w:hAnsi="Times New Roman" w:eastAsia="仿宋" w:cs="Times New Roman"/>
                <w:color w:val="auto"/>
                <w:sz w:val="28"/>
                <w:szCs w:val="28"/>
                <w:highlight w:val="none"/>
                <w:vertAlign w:val="baseline"/>
                <w:lang w:val="en-US" w:eastAsia="zh-CN" w:bidi="ar"/>
              </w:rPr>
            </w:pPr>
            <w:r>
              <w:rPr>
                <w:rFonts w:hint="default" w:ascii="Times New Roman" w:hAnsi="Times New Roman" w:eastAsia="方正黑体简体" w:cs="Times New Roman"/>
                <w:b w:val="0"/>
                <w:bCs w:val="0"/>
                <w:color w:val="auto"/>
                <w:sz w:val="30"/>
                <w:szCs w:val="30"/>
                <w:highlight w:val="none"/>
                <w:vertAlign w:val="baseline"/>
                <w:lang w:val="en-US" w:eastAsia="zh-CN" w:bidi="ar"/>
              </w:rPr>
              <w:t>专栏14：“十四五”生态环境保护重大项目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2" w:hRule="atLeast"/>
          <w:jc w:val="center"/>
        </w:trPr>
        <w:tc>
          <w:tcPr>
            <w:tcW w:w="8540" w:type="dxa"/>
            <w:noWrap w:val="0"/>
            <w:vAlign w:val="top"/>
          </w:tcPr>
          <w:p>
            <w:pPr>
              <w:pStyle w:val="12"/>
              <w:keepNext w:val="0"/>
              <w:keepLines w:val="0"/>
              <w:pageBreakBefore w:val="0"/>
              <w:widowControl w:val="0"/>
              <w:numPr>
                <w:ilvl w:val="0"/>
                <w:numId w:val="9"/>
              </w:numPr>
              <w:kinsoku/>
              <w:wordWrap/>
              <w:overflowPunct/>
              <w:topLinePunct w:val="0"/>
              <w:autoSpaceDE w:val="0"/>
              <w:autoSpaceDN w:val="0"/>
              <w:bidi w:val="0"/>
              <w:adjustRightInd w:val="0"/>
              <w:snapToGrid/>
              <w:spacing w:beforeAutospacing="0" w:afterAutospacing="0" w:line="380" w:lineRule="exact"/>
              <w:ind w:left="0"/>
              <w:textAlignment w:val="auto"/>
              <w:rPr>
                <w:rFonts w:hint="default" w:ascii="Times New Roman" w:hAnsi="Times New Roman" w:eastAsia="仿宋_GB2312" w:cs="Times New Roman"/>
                <w:color w:val="auto"/>
                <w:sz w:val="24"/>
                <w:szCs w:val="24"/>
                <w:highlight w:val="none"/>
                <w:vertAlign w:val="baseline"/>
                <w:lang w:bidi="ar"/>
              </w:rPr>
            </w:pPr>
            <w:r>
              <w:rPr>
                <w:rFonts w:hint="default" w:ascii="Times New Roman" w:hAnsi="Times New Roman" w:eastAsia="仿宋_GB2312" w:cs="Times New Roman"/>
                <w:b/>
                <w:bCs/>
                <w:color w:val="auto"/>
                <w:sz w:val="24"/>
                <w:szCs w:val="24"/>
                <w:highlight w:val="none"/>
                <w:vertAlign w:val="baseline"/>
                <w:lang w:val="en-US" w:eastAsia="zh-CN" w:bidi="ar"/>
              </w:rPr>
              <w:t>生态建设：</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left="0"/>
              <w:textAlignment w:val="auto"/>
              <w:rPr>
                <w:rFonts w:hint="default" w:ascii="Times New Roman" w:hAnsi="Times New Roman" w:eastAsia="仿宋_GB2312" w:cs="Times New Roman"/>
                <w:color w:val="auto"/>
                <w:sz w:val="24"/>
                <w:szCs w:val="24"/>
                <w:highlight w:val="none"/>
                <w:vertAlign w:val="baseline"/>
                <w:lang w:bidi="ar"/>
              </w:rPr>
            </w:pPr>
            <w:r>
              <w:rPr>
                <w:rFonts w:hint="default" w:ascii="Times New Roman" w:hAnsi="Times New Roman" w:eastAsia="仿宋_GB2312" w:cs="Times New Roman"/>
                <w:color w:val="auto"/>
                <w:sz w:val="24"/>
                <w:szCs w:val="24"/>
                <w:highlight w:val="none"/>
                <w:vertAlign w:val="baseline"/>
                <w:lang w:val="en-US" w:eastAsia="zh-CN" w:bidi="ar"/>
              </w:rPr>
              <w:t>1、</w:t>
            </w:r>
            <w:r>
              <w:rPr>
                <w:rFonts w:hint="default" w:ascii="Times New Roman" w:hAnsi="Times New Roman" w:eastAsia="仿宋_GB2312" w:cs="Times New Roman"/>
                <w:color w:val="auto"/>
                <w:sz w:val="24"/>
                <w:szCs w:val="24"/>
                <w:highlight w:val="none"/>
                <w:vertAlign w:val="baseline"/>
                <w:lang w:bidi="ar"/>
              </w:rPr>
              <w:t>陆浑湖生态建设项目</w:t>
            </w:r>
            <w:r>
              <w:rPr>
                <w:rFonts w:hint="default" w:ascii="Times New Roman" w:hAnsi="Times New Roman" w:eastAsia="仿宋_GB2312" w:cs="Times New Roman"/>
                <w:color w:val="auto"/>
                <w:sz w:val="24"/>
                <w:szCs w:val="24"/>
                <w:highlight w:val="none"/>
                <w:vertAlign w:val="baseline"/>
                <w:lang w:eastAsia="zh-CN" w:bidi="ar"/>
              </w:rPr>
              <w:t>；</w:t>
            </w:r>
            <w:r>
              <w:rPr>
                <w:rFonts w:hint="default" w:ascii="Times New Roman" w:hAnsi="Times New Roman" w:eastAsia="仿宋_GB2312" w:cs="Times New Roman"/>
                <w:color w:val="auto"/>
                <w:sz w:val="24"/>
                <w:szCs w:val="24"/>
                <w:highlight w:val="none"/>
                <w:vertAlign w:val="baseline"/>
                <w:lang w:val="en-US" w:eastAsia="zh-CN" w:bidi="ar"/>
              </w:rPr>
              <w:t>2、</w:t>
            </w:r>
            <w:r>
              <w:rPr>
                <w:rFonts w:hint="default" w:ascii="Times New Roman" w:hAnsi="Times New Roman" w:eastAsia="仿宋_GB2312" w:cs="Times New Roman"/>
                <w:color w:val="auto"/>
                <w:sz w:val="24"/>
                <w:szCs w:val="24"/>
                <w:highlight w:val="none"/>
                <w:vertAlign w:val="baseline"/>
                <w:lang w:bidi="ar"/>
              </w:rPr>
              <w:t>嵩县生态廊道综合提升工程</w:t>
            </w:r>
            <w:r>
              <w:rPr>
                <w:rFonts w:hint="default" w:ascii="Times New Roman" w:hAnsi="Times New Roman" w:eastAsia="仿宋_GB2312" w:cs="Times New Roman"/>
                <w:color w:val="auto"/>
                <w:sz w:val="24"/>
                <w:szCs w:val="24"/>
                <w:highlight w:val="none"/>
                <w:vertAlign w:val="baseline"/>
                <w:lang w:eastAsia="zh-CN" w:bidi="ar"/>
              </w:rPr>
              <w:t>。</w:t>
            </w:r>
          </w:p>
          <w:p>
            <w:pPr>
              <w:pStyle w:val="12"/>
              <w:keepNext w:val="0"/>
              <w:keepLines w:val="0"/>
              <w:pageBreakBefore w:val="0"/>
              <w:widowControl w:val="0"/>
              <w:numPr>
                <w:ilvl w:val="0"/>
                <w:numId w:val="9"/>
              </w:numPr>
              <w:kinsoku/>
              <w:wordWrap/>
              <w:overflowPunct/>
              <w:topLinePunct w:val="0"/>
              <w:autoSpaceDE w:val="0"/>
              <w:autoSpaceDN w:val="0"/>
              <w:bidi w:val="0"/>
              <w:adjustRightInd w:val="0"/>
              <w:snapToGrid/>
              <w:spacing w:beforeAutospacing="0" w:afterAutospacing="0" w:line="380" w:lineRule="exact"/>
              <w:ind w:left="0"/>
              <w:textAlignment w:val="auto"/>
              <w:rPr>
                <w:rFonts w:hint="default" w:ascii="Times New Roman" w:hAnsi="Times New Roman" w:eastAsia="仿宋_GB2312" w:cs="Times New Roman"/>
                <w:color w:val="auto"/>
                <w:sz w:val="24"/>
                <w:szCs w:val="24"/>
                <w:highlight w:val="none"/>
                <w:vertAlign w:val="baseline"/>
                <w:lang w:eastAsia="zh-CN" w:bidi="ar"/>
              </w:rPr>
            </w:pPr>
            <w:r>
              <w:rPr>
                <w:rFonts w:hint="default" w:ascii="Times New Roman" w:hAnsi="Times New Roman" w:eastAsia="仿宋_GB2312" w:cs="Times New Roman"/>
                <w:b/>
                <w:bCs/>
                <w:color w:val="auto"/>
                <w:sz w:val="24"/>
                <w:szCs w:val="24"/>
                <w:highlight w:val="none"/>
                <w:vertAlign w:val="baseline"/>
                <w:lang w:bidi="ar"/>
              </w:rPr>
              <w:t>嵩县农村人居环境建设项目</w:t>
            </w:r>
            <w:r>
              <w:rPr>
                <w:rFonts w:hint="default" w:ascii="Times New Roman" w:hAnsi="Times New Roman" w:eastAsia="仿宋_GB2312" w:cs="Times New Roman"/>
                <w:color w:val="auto"/>
                <w:sz w:val="24"/>
                <w:szCs w:val="24"/>
                <w:highlight w:val="none"/>
                <w:vertAlign w:val="baseline"/>
                <w:lang w:eastAsia="zh-CN" w:bidi="ar"/>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left="0"/>
              <w:textAlignment w:val="auto"/>
              <w:rPr>
                <w:rFonts w:hint="default" w:ascii="Times New Roman" w:hAnsi="Times New Roman" w:eastAsia="仿宋_GB2312" w:cs="Times New Roman"/>
                <w:color w:val="auto"/>
                <w:sz w:val="24"/>
                <w:szCs w:val="24"/>
                <w:highlight w:val="none"/>
                <w:vertAlign w:val="baseline"/>
                <w:lang w:eastAsia="zh-CN" w:bidi="ar"/>
              </w:rPr>
            </w:pPr>
            <w:r>
              <w:rPr>
                <w:rFonts w:hint="default" w:ascii="Times New Roman" w:hAnsi="Times New Roman" w:eastAsia="仿宋_GB2312" w:cs="Times New Roman"/>
                <w:color w:val="auto"/>
                <w:sz w:val="24"/>
                <w:szCs w:val="24"/>
                <w:highlight w:val="none"/>
                <w:vertAlign w:val="baseline"/>
                <w:lang w:bidi="ar"/>
              </w:rPr>
              <w:t>嵩县农村生活污水处理项目</w:t>
            </w:r>
            <w:r>
              <w:rPr>
                <w:rFonts w:hint="default" w:ascii="Times New Roman" w:hAnsi="Times New Roman" w:eastAsia="仿宋_GB2312" w:cs="Times New Roman"/>
                <w:color w:val="auto"/>
                <w:sz w:val="24"/>
                <w:szCs w:val="24"/>
                <w:highlight w:val="none"/>
                <w:vertAlign w:val="baseline"/>
                <w:lang w:eastAsia="zh-CN" w:bidi="ar"/>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left="0"/>
              <w:textAlignment w:val="auto"/>
              <w:rPr>
                <w:rFonts w:hint="default" w:ascii="Times New Roman" w:hAnsi="Times New Roman" w:eastAsia="仿宋_GB2312" w:cs="Times New Roman"/>
                <w:b/>
                <w:bCs/>
                <w:color w:val="auto"/>
                <w:sz w:val="24"/>
                <w:szCs w:val="24"/>
                <w:highlight w:val="none"/>
                <w:vertAlign w:val="baseline"/>
                <w:lang w:val="en-US" w:eastAsia="zh-CN" w:bidi="ar"/>
              </w:rPr>
            </w:pPr>
            <w:r>
              <w:rPr>
                <w:rFonts w:hint="default" w:ascii="Times New Roman" w:hAnsi="Times New Roman" w:eastAsia="仿宋_GB2312" w:cs="Times New Roman"/>
                <w:b/>
                <w:bCs/>
                <w:color w:val="auto"/>
                <w:sz w:val="24"/>
                <w:szCs w:val="24"/>
                <w:highlight w:val="none"/>
                <w:vertAlign w:val="baseline"/>
                <w:lang w:val="en-US" w:eastAsia="zh-CN" w:bidi="ar"/>
              </w:rPr>
              <w:t>三、生态修复项目：</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left="0" w:leftChars="0"/>
              <w:textAlignment w:val="auto"/>
              <w:rPr>
                <w:rFonts w:hint="default" w:ascii="Times New Roman" w:hAnsi="Times New Roman" w:eastAsia="仿宋_GB2312" w:cs="Times New Roman"/>
                <w:color w:val="auto"/>
                <w:sz w:val="24"/>
                <w:szCs w:val="24"/>
                <w:highlight w:val="none"/>
                <w:vertAlign w:val="baseline"/>
                <w:lang w:eastAsia="zh-CN" w:bidi="ar"/>
              </w:rPr>
            </w:pPr>
            <w:r>
              <w:rPr>
                <w:rFonts w:hint="default" w:ascii="Times New Roman" w:hAnsi="Times New Roman" w:eastAsia="仿宋_GB2312" w:cs="Times New Roman"/>
                <w:color w:val="auto"/>
                <w:sz w:val="24"/>
                <w:szCs w:val="24"/>
                <w:highlight w:val="none"/>
                <w:vertAlign w:val="baseline"/>
                <w:lang w:val="en-US" w:eastAsia="zh-CN" w:bidi="ar"/>
              </w:rPr>
              <w:t>1、</w:t>
            </w:r>
            <w:r>
              <w:rPr>
                <w:rFonts w:hint="default" w:ascii="Times New Roman" w:hAnsi="Times New Roman" w:eastAsia="仿宋_GB2312" w:cs="Times New Roman"/>
                <w:color w:val="auto"/>
                <w:sz w:val="24"/>
                <w:szCs w:val="24"/>
                <w:highlight w:val="none"/>
                <w:vertAlign w:val="baseline"/>
                <w:lang w:bidi="ar"/>
              </w:rPr>
              <w:t>嵩县污水处理厂尾水人工湿地生态修复</w:t>
            </w:r>
            <w:r>
              <w:rPr>
                <w:rFonts w:hint="default" w:ascii="Times New Roman" w:hAnsi="Times New Roman" w:eastAsia="仿宋_GB2312" w:cs="Times New Roman"/>
                <w:color w:val="auto"/>
                <w:sz w:val="24"/>
                <w:szCs w:val="24"/>
                <w:highlight w:val="none"/>
                <w:vertAlign w:val="baseline"/>
                <w:lang w:eastAsia="zh-CN" w:bidi="ar"/>
              </w:rPr>
              <w:t>；</w:t>
            </w:r>
            <w:r>
              <w:rPr>
                <w:rFonts w:hint="default" w:ascii="Times New Roman" w:hAnsi="Times New Roman" w:eastAsia="仿宋_GB2312" w:cs="Times New Roman"/>
                <w:color w:val="auto"/>
                <w:sz w:val="24"/>
                <w:szCs w:val="24"/>
                <w:highlight w:val="none"/>
                <w:vertAlign w:val="baseline"/>
                <w:lang w:val="en-US" w:eastAsia="zh-CN" w:bidi="ar"/>
              </w:rPr>
              <w:t>2、</w:t>
            </w:r>
            <w:r>
              <w:rPr>
                <w:rFonts w:hint="default" w:ascii="Times New Roman" w:hAnsi="Times New Roman" w:eastAsia="仿宋_GB2312" w:cs="Times New Roman"/>
                <w:color w:val="auto"/>
                <w:sz w:val="24"/>
                <w:szCs w:val="24"/>
                <w:highlight w:val="none"/>
                <w:vertAlign w:val="baseline"/>
                <w:lang w:bidi="ar"/>
              </w:rPr>
              <w:t>嵩县</w:t>
            </w:r>
            <w:r>
              <w:rPr>
                <w:rFonts w:hint="default" w:ascii="Times New Roman" w:hAnsi="Times New Roman" w:eastAsia="仿宋_GB2312" w:cs="Times New Roman"/>
                <w:color w:val="auto"/>
                <w:sz w:val="24"/>
                <w:szCs w:val="24"/>
                <w:highlight w:val="none"/>
                <w:vertAlign w:val="baseline"/>
                <w:lang w:eastAsia="zh-CN" w:bidi="ar"/>
              </w:rPr>
              <w:t>庙岭</w:t>
            </w:r>
            <w:r>
              <w:rPr>
                <w:rFonts w:hint="default" w:ascii="Times New Roman" w:hAnsi="Times New Roman" w:eastAsia="仿宋_GB2312" w:cs="Times New Roman"/>
                <w:color w:val="auto"/>
                <w:sz w:val="24"/>
                <w:szCs w:val="24"/>
                <w:highlight w:val="none"/>
                <w:vertAlign w:val="baseline"/>
                <w:lang w:bidi="ar"/>
              </w:rPr>
              <w:t>矿山生态修复项目</w:t>
            </w:r>
            <w:r>
              <w:rPr>
                <w:rFonts w:hint="default" w:ascii="Times New Roman" w:hAnsi="Times New Roman" w:eastAsia="仿宋_GB2312" w:cs="Times New Roman"/>
                <w:color w:val="auto"/>
                <w:sz w:val="24"/>
                <w:szCs w:val="24"/>
                <w:highlight w:val="none"/>
                <w:vertAlign w:val="baseline"/>
                <w:lang w:eastAsia="zh-CN" w:bidi="ar"/>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left="0" w:leftChars="0"/>
              <w:textAlignment w:val="auto"/>
              <w:rPr>
                <w:rFonts w:hint="default" w:ascii="Times New Roman" w:hAnsi="Times New Roman" w:eastAsia="仿宋_GB2312" w:cs="Times New Roman"/>
                <w:b/>
                <w:bCs/>
                <w:color w:val="auto"/>
                <w:sz w:val="24"/>
                <w:szCs w:val="24"/>
                <w:highlight w:val="none"/>
                <w:vertAlign w:val="baseline"/>
                <w:lang w:val="en-US" w:eastAsia="zh-CN" w:bidi="ar"/>
              </w:rPr>
            </w:pPr>
            <w:r>
              <w:rPr>
                <w:rFonts w:hint="default" w:ascii="Times New Roman" w:hAnsi="Times New Roman" w:eastAsia="仿宋_GB2312" w:cs="Times New Roman"/>
                <w:b/>
                <w:bCs/>
                <w:color w:val="auto"/>
                <w:sz w:val="24"/>
                <w:szCs w:val="24"/>
                <w:highlight w:val="none"/>
                <w:vertAlign w:val="baseline"/>
                <w:lang w:val="en-US" w:eastAsia="zh-CN" w:bidi="ar"/>
              </w:rPr>
              <w:t>四、污染防治项目：</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left="0" w:leftChars="0"/>
              <w:textAlignment w:val="auto"/>
              <w:rPr>
                <w:rFonts w:hint="default" w:ascii="Times New Roman" w:hAnsi="Times New Roman" w:eastAsia="仿宋_GB2312" w:cs="Times New Roman"/>
                <w:color w:val="auto"/>
                <w:sz w:val="24"/>
                <w:szCs w:val="24"/>
                <w:highlight w:val="none"/>
                <w:vertAlign w:val="baseline"/>
                <w:lang w:eastAsia="zh-CN" w:bidi="ar"/>
              </w:rPr>
            </w:pPr>
            <w:r>
              <w:rPr>
                <w:rFonts w:hint="default" w:ascii="Times New Roman" w:hAnsi="Times New Roman" w:eastAsia="仿宋_GB2312" w:cs="Times New Roman"/>
                <w:color w:val="auto"/>
                <w:sz w:val="24"/>
                <w:szCs w:val="24"/>
                <w:highlight w:val="none"/>
                <w:vertAlign w:val="baseline"/>
                <w:lang w:bidi="ar"/>
              </w:rPr>
              <w:t>嵩县农业面源污染治理项目</w:t>
            </w:r>
            <w:r>
              <w:rPr>
                <w:rFonts w:hint="default" w:ascii="Times New Roman" w:hAnsi="Times New Roman" w:eastAsia="仿宋_GB2312" w:cs="Times New Roman"/>
                <w:color w:val="auto"/>
                <w:sz w:val="24"/>
                <w:szCs w:val="24"/>
                <w:highlight w:val="none"/>
                <w:vertAlign w:val="baseline"/>
                <w:lang w:eastAsia="zh-CN" w:bidi="ar"/>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left="0" w:leftChars="0"/>
              <w:textAlignment w:val="auto"/>
              <w:rPr>
                <w:rFonts w:hint="default" w:ascii="Times New Roman" w:hAnsi="Times New Roman" w:eastAsia="仿宋_GB2312" w:cs="Times New Roman"/>
                <w:color w:val="auto"/>
                <w:sz w:val="24"/>
                <w:szCs w:val="24"/>
                <w:highlight w:val="none"/>
                <w:vertAlign w:val="baseline"/>
                <w:lang w:val="en-US" w:eastAsia="zh-CN" w:bidi="ar"/>
              </w:rPr>
            </w:pPr>
            <w:r>
              <w:rPr>
                <w:rFonts w:hint="default" w:ascii="Times New Roman" w:hAnsi="Times New Roman" w:eastAsia="仿宋_GB2312" w:cs="Times New Roman"/>
                <w:b/>
                <w:bCs/>
                <w:color w:val="auto"/>
                <w:sz w:val="24"/>
                <w:szCs w:val="24"/>
                <w:highlight w:val="none"/>
                <w:vertAlign w:val="baseline"/>
                <w:lang w:val="en-US" w:eastAsia="zh-CN" w:bidi="ar"/>
              </w:rPr>
              <w:t>五、流域治理项目</w:t>
            </w:r>
            <w:r>
              <w:rPr>
                <w:rFonts w:hint="default" w:ascii="Times New Roman" w:hAnsi="Times New Roman" w:eastAsia="仿宋_GB2312" w:cs="Times New Roman"/>
                <w:color w:val="auto"/>
                <w:sz w:val="24"/>
                <w:szCs w:val="24"/>
                <w:highlight w:val="none"/>
                <w:vertAlign w:val="baseline"/>
                <w:lang w:val="en-US" w:eastAsia="zh-CN" w:bidi="ar"/>
              </w:rPr>
              <w:t>：</w:t>
            </w:r>
          </w:p>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380" w:lineRule="exact"/>
              <w:ind w:left="0"/>
              <w:textAlignment w:val="auto"/>
              <w:rPr>
                <w:rFonts w:hint="default" w:ascii="Times New Roman" w:hAnsi="Times New Roman" w:eastAsia="仿宋" w:cs="Times New Roman"/>
                <w:color w:val="auto"/>
                <w:sz w:val="28"/>
                <w:szCs w:val="28"/>
                <w:highlight w:val="none"/>
                <w:vertAlign w:val="baseline"/>
                <w:lang w:val="en-US" w:eastAsia="zh-CN" w:bidi="ar"/>
              </w:rPr>
            </w:pPr>
            <w:r>
              <w:rPr>
                <w:rFonts w:hint="default" w:ascii="Times New Roman" w:hAnsi="Times New Roman" w:eastAsia="仿宋_GB2312" w:cs="Times New Roman"/>
                <w:color w:val="auto"/>
                <w:sz w:val="24"/>
                <w:szCs w:val="24"/>
                <w:highlight w:val="none"/>
                <w:vertAlign w:val="baseline"/>
                <w:lang w:val="en-US" w:eastAsia="zh-CN" w:bidi="ar"/>
              </w:rPr>
              <w:t>1、</w:t>
            </w:r>
            <w:r>
              <w:rPr>
                <w:rFonts w:hint="default" w:ascii="Times New Roman" w:hAnsi="Times New Roman" w:eastAsia="仿宋_GB2312" w:cs="Times New Roman"/>
                <w:color w:val="auto"/>
                <w:sz w:val="24"/>
                <w:szCs w:val="24"/>
                <w:highlight w:val="none"/>
                <w:vertAlign w:val="baseline"/>
                <w:lang w:bidi="ar"/>
              </w:rPr>
              <w:t>嵩县水土保持治理项目</w:t>
            </w:r>
            <w:r>
              <w:rPr>
                <w:rFonts w:hint="default" w:ascii="Times New Roman" w:hAnsi="Times New Roman" w:eastAsia="仿宋_GB2312" w:cs="Times New Roman"/>
                <w:color w:val="auto"/>
                <w:sz w:val="24"/>
                <w:szCs w:val="24"/>
                <w:highlight w:val="none"/>
                <w:vertAlign w:val="baseline"/>
                <w:lang w:eastAsia="zh-CN" w:bidi="ar"/>
              </w:rPr>
              <w:t>；</w:t>
            </w:r>
            <w:r>
              <w:rPr>
                <w:rFonts w:hint="default" w:ascii="Times New Roman" w:hAnsi="Times New Roman" w:eastAsia="仿宋_GB2312" w:cs="Times New Roman"/>
                <w:color w:val="auto"/>
                <w:sz w:val="24"/>
                <w:szCs w:val="24"/>
                <w:highlight w:val="none"/>
                <w:vertAlign w:val="baseline"/>
                <w:lang w:val="en-US" w:eastAsia="zh-CN" w:bidi="ar"/>
              </w:rPr>
              <w:t>2、</w:t>
            </w:r>
            <w:r>
              <w:rPr>
                <w:rFonts w:hint="default" w:ascii="Times New Roman" w:hAnsi="Times New Roman" w:eastAsia="仿宋_GB2312" w:cs="Times New Roman"/>
                <w:color w:val="auto"/>
                <w:sz w:val="24"/>
                <w:szCs w:val="24"/>
                <w:highlight w:val="none"/>
                <w:vertAlign w:val="baseline"/>
                <w:lang w:bidi="ar"/>
              </w:rPr>
              <w:t>嵩县河道治理项目</w:t>
            </w:r>
            <w:r>
              <w:rPr>
                <w:rFonts w:hint="default" w:ascii="Times New Roman" w:hAnsi="Times New Roman" w:eastAsia="仿宋_GB2312" w:cs="Times New Roman"/>
                <w:color w:val="auto"/>
                <w:sz w:val="24"/>
                <w:szCs w:val="24"/>
                <w:highlight w:val="none"/>
                <w:vertAlign w:val="baseline"/>
                <w:lang w:eastAsia="zh-CN" w:bidi="ar"/>
              </w:rPr>
              <w:t>；</w:t>
            </w:r>
            <w:r>
              <w:rPr>
                <w:rFonts w:hint="default" w:ascii="Times New Roman" w:hAnsi="Times New Roman" w:eastAsia="仿宋_GB2312" w:cs="Times New Roman"/>
                <w:color w:val="auto"/>
                <w:sz w:val="24"/>
                <w:szCs w:val="24"/>
                <w:highlight w:val="none"/>
                <w:vertAlign w:val="baseline"/>
                <w:lang w:val="en-US" w:eastAsia="zh-CN" w:bidi="ar"/>
              </w:rPr>
              <w:t>3、</w:t>
            </w:r>
            <w:r>
              <w:rPr>
                <w:rFonts w:hint="default" w:ascii="Times New Roman" w:hAnsi="Times New Roman" w:eastAsia="仿宋_GB2312" w:cs="Times New Roman"/>
                <w:color w:val="auto"/>
                <w:sz w:val="24"/>
                <w:szCs w:val="24"/>
                <w:highlight w:val="none"/>
                <w:vertAlign w:val="baseline"/>
                <w:lang w:bidi="ar"/>
              </w:rPr>
              <w:t>嵩县山洪灾害防治项目</w:t>
            </w:r>
            <w:r>
              <w:rPr>
                <w:rFonts w:hint="default" w:ascii="Times New Roman" w:hAnsi="Times New Roman" w:eastAsia="仿宋_GB2312" w:cs="Times New Roman"/>
                <w:color w:val="auto"/>
                <w:sz w:val="24"/>
                <w:szCs w:val="24"/>
                <w:highlight w:val="none"/>
                <w:vertAlign w:val="baseline"/>
                <w:lang w:eastAsia="zh-CN" w:bidi="ar"/>
              </w:rPr>
              <w:t>。</w:t>
            </w:r>
          </w:p>
        </w:tc>
      </w:tr>
    </w:tbl>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黑体" w:cs="Times New Roman"/>
          <w:b/>
          <w:color w:val="auto"/>
          <w:kern w:val="0"/>
          <w:sz w:val="36"/>
          <w:szCs w:val="36"/>
          <w:lang w:val="en-US" w:eastAsia="zh-CN" w:bidi="ar"/>
        </w:rPr>
      </w:pPr>
      <w:bookmarkStart w:id="100" w:name="_Toc7746"/>
      <w:r>
        <w:rPr>
          <w:rFonts w:hint="default" w:ascii="Times New Roman" w:hAnsi="Times New Roman" w:eastAsia="黑体" w:cs="Times New Roman"/>
          <w:b/>
          <w:color w:val="auto"/>
          <w:kern w:val="0"/>
          <w:sz w:val="36"/>
          <w:szCs w:val="36"/>
          <w:lang w:val="en-US" w:eastAsia="zh-CN" w:bidi="ar"/>
        </w:rPr>
        <w:t>第十一篇 完善公共服务，提升人民群众幸福感获得感</w:t>
      </w:r>
      <w:bookmarkEnd w:id="100"/>
      <w:r>
        <w:rPr>
          <w:rFonts w:hint="default" w:ascii="Times New Roman" w:hAnsi="Times New Roman" w:eastAsia="黑体" w:cs="Times New Roman"/>
          <w:b/>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以人民为中心，建立健全基本公共服务标准体系，以标准化促进基本公共服务均等化、普惠化、便捷化。推进基本公共服务补齐短板，破解瓶颈，推进非基本公共服务提质量、强弱项、赋效能，不断满足人民群众获得感、幸福感、安全感。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101" w:name="_Toc3848"/>
      <w:r>
        <w:rPr>
          <w:rFonts w:hint="default" w:ascii="Times New Roman" w:hAnsi="Times New Roman" w:eastAsia="黑体" w:cs="Times New Roman"/>
          <w:color w:val="auto"/>
          <w:kern w:val="0"/>
          <w:sz w:val="32"/>
          <w:szCs w:val="32"/>
          <w:lang w:val="en-US" w:eastAsia="zh-CN" w:bidi="ar"/>
        </w:rPr>
        <w:t>第一章 提升基本公共服务能力</w:t>
      </w:r>
      <w:bookmarkEnd w:id="101"/>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坚持以人民群众需求为导向，聚焦就业、医疗、教育等民生领域，更新服务理念，优化服务过程，完善服务体系，实现幼有所育、学有所教、劳有所得、病有所医、住有所居、老有所养、弱有所扶。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2" w:name="_Toc18982"/>
      <w:r>
        <w:rPr>
          <w:rFonts w:hint="default" w:ascii="Times New Roman" w:hAnsi="Times New Roman" w:eastAsia="仿宋_GB2312" w:cs="Times New Roman"/>
          <w:b/>
          <w:color w:val="auto"/>
          <w:kern w:val="0"/>
          <w:sz w:val="32"/>
          <w:szCs w:val="32"/>
          <w:lang w:val="en-US" w:eastAsia="zh-CN" w:bidi="ar"/>
        </w:rPr>
        <w:t>第一节 推进更高质量充分就业</w:t>
      </w:r>
      <w:bookmarkEnd w:id="102"/>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建立就业目标导向优先机制，深入实施就业优先战略和积极就业政策，以更大力度缓解就业结构性矛盾，全面提高就业质量。实施更加积极的就业政策，促进就业结构优化，注重提高就业质量，实现更加充分就业。坚持就业优先，建立促进创业带动就业、多渠道灵活就业机制，加大援企稳岗力度，解决好高校毕业生、退役军人、下岗职工、农民工、返乡人员等重点人群就业问题。支持创业贷款发展，强化各级财政，筹集贴息资金，创新贷款模式，扩大创业贷款扶持范围。实施职业技能提升水平，扩大技能人才培养培训规模；积极打造农民工返乡创业示范乡镇，农民工返乡创业园，培育农民工返乡创业示范项目，累计培训</w:t>
      </w:r>
      <w:r>
        <w:rPr>
          <w:rFonts w:hint="default" w:ascii="Times New Roman" w:hAnsi="Times New Roman" w:eastAsia="宋体"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万人。五年内完成各类事业单位招录招聘</w:t>
      </w:r>
      <w:r>
        <w:rPr>
          <w:rFonts w:hint="default" w:ascii="Times New Roman" w:hAnsi="Times New Roman" w:eastAsia="宋体" w:cs="Times New Roman"/>
          <w:color w:val="auto"/>
          <w:kern w:val="0"/>
          <w:sz w:val="32"/>
          <w:szCs w:val="32"/>
          <w:lang w:val="en-US" w:eastAsia="zh-CN" w:bidi="ar"/>
        </w:rPr>
        <w:t>1500</w:t>
      </w:r>
      <w:r>
        <w:rPr>
          <w:rFonts w:hint="default" w:ascii="Times New Roman" w:hAnsi="Times New Roman" w:eastAsia="仿宋_GB2312" w:cs="Times New Roman"/>
          <w:color w:val="auto"/>
          <w:kern w:val="0"/>
          <w:sz w:val="32"/>
          <w:szCs w:val="32"/>
          <w:lang w:val="en-US" w:eastAsia="zh-CN" w:bidi="ar"/>
        </w:rPr>
        <w:t>人。建立嵩县退役军人 就业创业基金，让群众就业更充分、工作更稳定。持续抓好</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一老一小</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问题，完善社会救助、社会福利、慈善事业等制度，支持社会力量发展普惠托育服务。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3" w:name="_Toc1065"/>
      <w:r>
        <w:rPr>
          <w:rFonts w:hint="default" w:ascii="Times New Roman" w:hAnsi="Times New Roman" w:eastAsia="仿宋_GB2312" w:cs="Times New Roman"/>
          <w:b/>
          <w:color w:val="auto"/>
          <w:kern w:val="0"/>
          <w:sz w:val="32"/>
          <w:szCs w:val="32"/>
          <w:lang w:val="en-US" w:eastAsia="zh-CN" w:bidi="ar"/>
        </w:rPr>
        <w:t>第二节 建设健康嵩县</w:t>
      </w:r>
      <w:bookmarkEnd w:id="103"/>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树立“大卫生、大健康”理念，预防为主，中西医并重，全方位干预健康影响因素，全领域防控重大疾病，全面提升人民群众健康水平。健全公共卫生体系，完善传染病疫情和突发公共卫生事件监测体系，加强疫情救治基地、城乡传染病救治网络、医院救治能力建设，提升应急医疗救治储备能力。提升全民健康素养，积极创建卫生城镇。广泛开展健康知识普及活动，把全生命周期健康管理贯穿城乡规划建设管理全过程。全面提升医疗服务能力，积极培养医疗技术骨干和学科带头人，推进紧密型医共体建设，提升乡镇卫生院、村卫生室和社区卫生服务中心（站）服务能力。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4" w:name="_Toc6395"/>
      <w:r>
        <w:rPr>
          <w:rFonts w:hint="default" w:ascii="Times New Roman" w:hAnsi="Times New Roman" w:eastAsia="仿宋_GB2312" w:cs="Times New Roman"/>
          <w:b/>
          <w:color w:val="auto"/>
          <w:kern w:val="0"/>
          <w:sz w:val="32"/>
          <w:szCs w:val="32"/>
          <w:lang w:val="en-US" w:eastAsia="zh-CN" w:bidi="ar"/>
        </w:rPr>
        <w:t>第三节 推进教育标准化优质化建设</w:t>
      </w:r>
      <w:bookmarkEnd w:id="104"/>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坚持教育优先发展战略，持续加强教育基础设施建设，促进基础教育发展。巩固义务教育三年攻坚成果，积极改善义务教育学校办学条件，确保校舍、生均占地面积、体育场地等按标准落实到位，推进嵩县城乡义务教育学校建设标准统一、教师编制标准统一、生均公用经费基准定额统一、基本装备配置标准统一和</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两免一补</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政策城乡全覆盖。加快义务教育优质化体系建设，积极打造基础教育品牌名校。加快发展高中教育。构建符合经济转型需求的职业教育体系，实施职业院校高水平建设行动计划和中等职业院校标准化建设工程，畅通技术技能人才成长通道，构建职业教育人才培训体系。拓展网络教育新路径，构建数字教育公共服务体系。加快建设学习型社会，规范民办教育健康发展。推动建设洛阳中医药职业技术学院，打造中医药产学研康基地</w:t>
      </w:r>
      <w:r>
        <w:rPr>
          <w:rFonts w:hint="default" w:ascii="Times New Roman" w:hAnsi="Times New Roman" w:eastAsia="宋体" w:cs="Times New Roman"/>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5" w:name="_Toc17190"/>
      <w:r>
        <w:rPr>
          <w:rFonts w:hint="default" w:ascii="Times New Roman" w:hAnsi="Times New Roman" w:eastAsia="仿宋_GB2312" w:cs="Times New Roman"/>
          <w:b/>
          <w:color w:val="auto"/>
          <w:kern w:val="0"/>
          <w:sz w:val="32"/>
          <w:szCs w:val="32"/>
          <w:lang w:val="en-US" w:eastAsia="zh-CN" w:bidi="ar"/>
        </w:rPr>
        <w:t>第四节 实施人口均衡发展战略</w:t>
      </w:r>
      <w:bookmarkEnd w:id="105"/>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优化生育政策，推进优生优育全程服务，完善生育保险政策，构建多元化、多样化、覆盖城乡的婴幼儿照护体系，引导生育水平提升并稳定在适度区间，推动人口结构良性变动和均衡发展。保障妇女、未成年人基本权益，全面提升儿童福利服务水平。完善老年健康服务体系，加强养老服务设施布局，扩大护理型、连锁型养老机构规模，加快建设居家社区机构相协调、医养康养相结合的养老服务体系。推进老旧小区适老化改造和公共服务设施无障碍改造，构建老年友好型社区。普及智慧养老，加大适老生活用品、智慧养老辅助设备生产与应用。建立健全高龄老年人、经济困难失能老年人补贴制度和老年人优待制度，开展长期护理保险制度试点。健全残疾人基本福利保障机制，完善扶残助残服务体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6" w:name="_Toc14130"/>
      <w:r>
        <w:rPr>
          <w:rFonts w:hint="default" w:ascii="Times New Roman" w:hAnsi="Times New Roman" w:eastAsia="仿宋_GB2312" w:cs="Times New Roman"/>
          <w:b/>
          <w:color w:val="auto"/>
          <w:kern w:val="0"/>
          <w:sz w:val="32"/>
          <w:szCs w:val="32"/>
          <w:lang w:val="en-US" w:eastAsia="zh-CN" w:bidi="ar"/>
        </w:rPr>
        <w:t>第五节 推进体育强县建设</w:t>
      </w:r>
      <w:bookmarkEnd w:id="106"/>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大力推动全民健身与全民健康深度融合，统筹建设全民健身场地设施，大力发展群众喜闻乐见的运动项目，不断满足人民对美好生活的需要。加强社区体育器械布置，体育文化宣传，体育氛围的建设，打造</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体育</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旅游</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的特色体育线路，探索发展乡村健身休闲产业和建设运动休闲特色乡村。积极推进校园足球、冰雪运动进校园，推行特色体育及传统体育相结合模式，将促进青少年提高身体素养和养成健康生活方式作为学校体育教育的重要内容，把学生体质健康水平纳入政府、教育行政部门、学校的考核体系，全面实施青少年体育活动促进计划。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7" w:name="_Toc15889"/>
      <w:r>
        <w:rPr>
          <w:rFonts w:hint="default" w:ascii="Times New Roman" w:hAnsi="Times New Roman" w:eastAsia="仿宋_GB2312" w:cs="Times New Roman"/>
          <w:b/>
          <w:color w:val="auto"/>
          <w:kern w:val="0"/>
          <w:sz w:val="32"/>
          <w:szCs w:val="32"/>
          <w:lang w:val="en-US" w:eastAsia="zh-CN" w:bidi="ar"/>
        </w:rPr>
        <w:t>第六节 完善覆盖全民的社会保障体系</w:t>
      </w:r>
      <w:bookmarkEnd w:id="107"/>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坚持应保尽保原则，健全统筹城乡、可持续的社会保障制度，稳步提高保障水平。完善基本养老保险制度，大力发展企业年金、职业年金、个人储蓄和商业养老保险等补充养老保险。构建以基本医疗保险为主体，医疗救助为托底，补充医疗保险、商业健康保险、慈善捐赠、医疗互助共同发展的医疗保障制度体系，全面做实基本医疗保险市级统筹，实现医疗保障经办管理体系县、乡镇（街道）、村（社区）全覆盖。健全退役军人工作体系和保障制度，开展示范型退役军人服务中心（站）建设。完善农村留守儿童和妇女、老年人关爱服务体系。统筹做好军民融合、双拥优抚、退役军人安置、民族宗教、机关事务、档案、地方志等工作，实现社会事业的全面发展。持续抓好</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一老一小</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问题，完善社会救助、社会福利制度。持续开展保障性住房建设，加快建立多主体供给、多渠道保障、租购并举的住房制度。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108" w:name="_Toc4186"/>
      <w:r>
        <w:rPr>
          <w:rFonts w:hint="default" w:ascii="Times New Roman" w:hAnsi="Times New Roman" w:eastAsia="黑体" w:cs="Times New Roman"/>
          <w:color w:val="auto"/>
          <w:kern w:val="0"/>
          <w:sz w:val="32"/>
          <w:szCs w:val="32"/>
          <w:lang w:val="en-US" w:eastAsia="zh-CN" w:bidi="ar"/>
        </w:rPr>
        <w:t>第二章 补强非基本公共服务弱项</w:t>
      </w:r>
      <w:bookmarkEnd w:id="108"/>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在做好政策制定、规划引领、环境营造、监管服务的前提下，充分发挥市场和行业协会、商会等社会组织的作用，鼓励引导社会力量参与，补强非基本公共服务弱项，推动非基本公共服务市场化、多元化、优质化</w:t>
      </w:r>
      <w:r>
        <w:rPr>
          <w:rFonts w:hint="default" w:ascii="Times New Roman" w:hAnsi="Times New Roman" w:eastAsia="宋体" w:cs="Times New Roman"/>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09" w:name="_Toc29948"/>
      <w:r>
        <w:rPr>
          <w:rFonts w:hint="default" w:ascii="Times New Roman" w:hAnsi="Times New Roman" w:eastAsia="仿宋_GB2312" w:cs="Times New Roman"/>
          <w:b/>
          <w:color w:val="auto"/>
          <w:kern w:val="0"/>
          <w:sz w:val="32"/>
          <w:szCs w:val="32"/>
          <w:lang w:val="en-US" w:eastAsia="zh-CN" w:bidi="ar"/>
        </w:rPr>
        <w:t>第一节 支持优质普惠学前教育资源扩容</w:t>
      </w:r>
      <w:bookmarkEnd w:id="109"/>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全面普及学前三年教育。加快学前教育普及普惠发展，科学布局规划，持续加大公办园建设力度，大力发展公办园，扩充公办学位，提高公办园在园幼儿占比。以农村为重点，提升学前教育普及水平，建立更为完善的学前教育管理体制、办园体制和投入体制，按政策落实普惠园奖补，加快发展普惠性民办园；继续实施民生实事工程和学前教育行动计划，逐年安排新建、改扩建一批公办幼儿园；充分利用各类资源发展公办园，积极鼓励社会力量办园；进一步规范小区配套幼儿园建设。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10" w:name="_Toc17424"/>
      <w:r>
        <w:rPr>
          <w:rFonts w:hint="default" w:ascii="Times New Roman" w:hAnsi="Times New Roman" w:eastAsia="仿宋_GB2312" w:cs="Times New Roman"/>
          <w:b/>
          <w:color w:val="auto"/>
          <w:kern w:val="0"/>
          <w:sz w:val="32"/>
          <w:szCs w:val="32"/>
          <w:lang w:val="en-US" w:eastAsia="zh-CN" w:bidi="ar"/>
        </w:rPr>
        <w:t>第二节 促进社会办医加快发展</w:t>
      </w:r>
      <w:bookmarkEnd w:id="110"/>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支持社会力量举办、运营高水平全科诊所，建立专业协作团队为居民提供医疗、公共卫生、健康管理等签约服务。支持社会力量深入专科医疗等细分服务领域，在眼科、骨科、口腔、妇产、儿科、肿瘤、精神、医疗美容等专科以及中医康复、护理、体检等领域，加快打造一批具有竞争力的品牌服务机构。鼓励有实力的社会办医疗机构瞄准医学前沿，组建优势学科团队，提供以先进医疗技术为特色的医疗服务。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2"/>
        <w:rPr>
          <w:rFonts w:hint="default" w:ascii="Times New Roman" w:hAnsi="Times New Roman" w:cs="Times New Roman"/>
          <w:color w:val="auto"/>
          <w:sz w:val="32"/>
          <w:szCs w:val="32"/>
        </w:rPr>
      </w:pPr>
      <w:bookmarkStart w:id="111" w:name="_Toc29083"/>
      <w:r>
        <w:rPr>
          <w:rFonts w:hint="default" w:ascii="Times New Roman" w:hAnsi="Times New Roman" w:eastAsia="仿宋_GB2312" w:cs="Times New Roman"/>
          <w:b/>
          <w:color w:val="auto"/>
          <w:kern w:val="0"/>
          <w:sz w:val="32"/>
          <w:szCs w:val="32"/>
          <w:lang w:val="en-US" w:eastAsia="zh-CN" w:bidi="ar"/>
        </w:rPr>
        <w:t>第三节 全面放开养老服务市场</w:t>
      </w:r>
      <w:bookmarkEnd w:id="111"/>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kern w:val="0"/>
          <w:sz w:val="32"/>
          <w:szCs w:val="32"/>
          <w:lang w:val="en-US" w:eastAsia="zh-CN" w:bidi="ar"/>
        </w:rPr>
        <w:t>完善多元化养老服务体系。</w:t>
      </w:r>
      <w:r>
        <w:rPr>
          <w:rFonts w:hint="default" w:ascii="Times New Roman" w:hAnsi="Times New Roman" w:eastAsia="仿宋_GB2312" w:cs="Times New Roman"/>
          <w:color w:val="auto"/>
          <w:kern w:val="0"/>
          <w:sz w:val="32"/>
          <w:szCs w:val="32"/>
          <w:lang w:val="en-US" w:eastAsia="zh-CN" w:bidi="ar"/>
        </w:rPr>
        <w:t xml:space="preserve">全面建立以居家为基础、社区为依托、机构为补充、医养相结合，功能完善、规模适度、 覆盖城乡的养老服务体系，社区日间照料机构覆盖率力争大于90%，居家社区养老紧急救援系统普遍建立，“一刻钟”居家养老服务圈基本建成。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b/>
          <w:color w:val="auto"/>
          <w:kern w:val="0"/>
          <w:sz w:val="32"/>
          <w:szCs w:val="32"/>
          <w:lang w:val="en-US" w:eastAsia="zh-CN" w:bidi="ar"/>
        </w:rPr>
        <w:t>推动民办养老机构健康发展。</w:t>
      </w:r>
      <w:r>
        <w:rPr>
          <w:rFonts w:hint="default" w:ascii="Times New Roman" w:hAnsi="Times New Roman" w:eastAsia="仿宋_GB2312" w:cs="Times New Roman"/>
          <w:color w:val="auto"/>
          <w:kern w:val="0"/>
          <w:sz w:val="32"/>
          <w:szCs w:val="32"/>
          <w:lang w:val="en-US" w:eastAsia="zh-CN" w:bidi="ar"/>
        </w:rPr>
        <w:t>推动民办养老机构实现规模化、连锁化、品牌化运营。鼓励民间资本对企业厂房、商业设施及其他可利用的社会资源进行整合和改造后用于养老服务。开展城企协同推进养老服务发展行动计划，落实同等优惠政策。</w:t>
      </w:r>
      <w:r>
        <w:rPr>
          <w:rFonts w:hint="default" w:ascii="Times New Roman" w:hAnsi="Times New Roman" w:eastAsia="仿宋_GB2312" w:cs="Times New Roman"/>
          <w:color w:val="auto"/>
          <w:kern w:val="0"/>
          <w:sz w:val="31"/>
          <w:szCs w:val="31"/>
          <w:lang w:val="en-US" w:eastAsia="zh-CN" w:bidi="ar"/>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12"/>
              <w:pageBreakBefore w:val="0"/>
              <w:kinsoku/>
              <w:wordWrap/>
              <w:bidi w:val="0"/>
              <w:spacing w:beforeAutospacing="0" w:afterAutospacing="0" w:line="580" w:lineRule="exact"/>
              <w:ind w:left="0"/>
              <w:jc w:val="center"/>
              <w:rPr>
                <w:rFonts w:hint="default" w:ascii="Times New Roman" w:hAnsi="Times New Roman" w:eastAsia="仿宋" w:cs="Times New Roman"/>
                <w:color w:val="auto"/>
                <w:sz w:val="28"/>
                <w:szCs w:val="28"/>
                <w:highlight w:val="none"/>
              </w:rPr>
            </w:pPr>
            <w:r>
              <w:rPr>
                <w:rFonts w:hint="default" w:ascii="Times New Roman" w:hAnsi="Times New Roman" w:eastAsia="方正黑体简体" w:cs="Times New Roman"/>
                <w:b w:val="0"/>
                <w:bCs w:val="0"/>
                <w:color w:val="auto"/>
                <w:sz w:val="30"/>
                <w:szCs w:val="30"/>
                <w:highlight w:val="none"/>
                <w:lang w:eastAsia="zh-CN"/>
              </w:rPr>
              <w:t>专栏</w:t>
            </w:r>
            <w:r>
              <w:rPr>
                <w:rFonts w:hint="default" w:ascii="Times New Roman" w:hAnsi="Times New Roman" w:eastAsia="方正黑体简体" w:cs="Times New Roman"/>
                <w:b w:val="0"/>
                <w:bCs w:val="0"/>
                <w:color w:val="auto"/>
                <w:sz w:val="30"/>
                <w:szCs w:val="30"/>
                <w:highlight w:val="none"/>
                <w:lang w:val="en-US" w:eastAsia="zh-CN"/>
              </w:rPr>
              <w:t>15：</w:t>
            </w:r>
            <w:r>
              <w:rPr>
                <w:rFonts w:hint="default" w:ascii="Times New Roman" w:hAnsi="Times New Roman" w:eastAsia="方正黑体简体" w:cs="Times New Roman"/>
                <w:b w:val="0"/>
                <w:bCs w:val="0"/>
                <w:color w:val="auto"/>
                <w:sz w:val="30"/>
                <w:szCs w:val="30"/>
                <w:highlight w:val="none"/>
                <w:lang w:eastAsia="zh-CN"/>
              </w:rPr>
              <w:t>“</w:t>
            </w:r>
            <w:r>
              <w:rPr>
                <w:rFonts w:hint="default" w:ascii="Times New Roman" w:hAnsi="Times New Roman" w:eastAsia="方正黑体简体" w:cs="Times New Roman"/>
                <w:b w:val="0"/>
                <w:bCs w:val="0"/>
                <w:color w:val="auto"/>
                <w:sz w:val="30"/>
                <w:szCs w:val="30"/>
                <w:highlight w:val="none"/>
              </w:rPr>
              <w:t>十四五”公共服务重要项目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b/>
                <w:bCs/>
                <w:color w:val="auto"/>
                <w:sz w:val="24"/>
                <w:szCs w:val="24"/>
                <w:highlight w:val="none"/>
                <w:lang w:bidi="ar"/>
              </w:rPr>
            </w:pPr>
            <w:r>
              <w:rPr>
                <w:rFonts w:hint="default" w:ascii="Times New Roman" w:hAnsi="Times New Roman" w:eastAsia="仿宋_GB2312" w:cs="Times New Roman"/>
                <w:b/>
                <w:bCs/>
                <w:color w:val="auto"/>
                <w:sz w:val="24"/>
                <w:szCs w:val="24"/>
                <w:highlight w:val="none"/>
                <w:lang w:eastAsia="zh-CN" w:bidi="ar"/>
              </w:rPr>
              <w:t>一、</w:t>
            </w:r>
            <w:r>
              <w:rPr>
                <w:rFonts w:hint="default" w:ascii="Times New Roman" w:hAnsi="Times New Roman" w:eastAsia="仿宋_GB2312" w:cs="Times New Roman"/>
                <w:b/>
                <w:bCs/>
                <w:color w:val="auto"/>
                <w:sz w:val="24"/>
                <w:szCs w:val="24"/>
                <w:highlight w:val="none"/>
                <w:lang w:bidi="ar"/>
              </w:rPr>
              <w:t>教体类：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color w:val="auto"/>
                <w:sz w:val="24"/>
                <w:szCs w:val="24"/>
                <w:highlight w:val="none"/>
                <w:lang w:eastAsia="zh-CN" w:bidi="ar"/>
              </w:rPr>
            </w:pPr>
            <w:r>
              <w:rPr>
                <w:rFonts w:hint="default" w:ascii="Times New Roman" w:hAnsi="Times New Roman" w:eastAsia="仿宋_GB2312" w:cs="Times New Roman"/>
                <w:color w:val="auto"/>
                <w:sz w:val="24"/>
                <w:szCs w:val="24"/>
                <w:highlight w:val="none"/>
                <w:lang w:bidi="ar"/>
              </w:rPr>
              <w:t>1、嵩县义务教育学校建设项目；2、嵩县普通高中建设项目；</w:t>
            </w:r>
            <w:r>
              <w:rPr>
                <w:rFonts w:hint="default" w:ascii="Times New Roman" w:hAnsi="Times New Roman" w:eastAsia="仿宋_GB2312" w:cs="Times New Roman"/>
                <w:color w:val="auto"/>
                <w:sz w:val="24"/>
                <w:szCs w:val="24"/>
                <w:highlight w:val="none"/>
                <w:lang w:val="en-US" w:eastAsia="zh-CN" w:bidi="ar"/>
              </w:rPr>
              <w:t>3</w:t>
            </w:r>
            <w:r>
              <w:rPr>
                <w:rFonts w:hint="default" w:ascii="Times New Roman" w:hAnsi="Times New Roman" w:eastAsia="仿宋_GB2312" w:cs="Times New Roman"/>
                <w:color w:val="auto"/>
                <w:sz w:val="24"/>
                <w:szCs w:val="24"/>
                <w:highlight w:val="none"/>
                <w:lang w:bidi="ar"/>
              </w:rPr>
              <w:t>、嵩县中专新校区建设项目；</w:t>
            </w:r>
            <w:r>
              <w:rPr>
                <w:rFonts w:hint="default" w:ascii="Times New Roman" w:hAnsi="Times New Roman" w:eastAsia="仿宋_GB2312" w:cs="Times New Roman"/>
                <w:color w:val="auto"/>
                <w:sz w:val="24"/>
                <w:szCs w:val="24"/>
                <w:highlight w:val="none"/>
                <w:lang w:val="en-US" w:eastAsia="zh-CN" w:bidi="ar"/>
              </w:rPr>
              <w:t>4</w:t>
            </w:r>
            <w:r>
              <w:rPr>
                <w:rFonts w:hint="default" w:ascii="Times New Roman" w:hAnsi="Times New Roman" w:eastAsia="仿宋_GB2312" w:cs="Times New Roman"/>
                <w:color w:val="auto"/>
                <w:sz w:val="24"/>
                <w:szCs w:val="24"/>
                <w:highlight w:val="none"/>
                <w:lang w:bidi="ar"/>
              </w:rPr>
              <w:t>、嵩县中医药专科学校建设项目；</w:t>
            </w:r>
            <w:r>
              <w:rPr>
                <w:rFonts w:hint="default" w:ascii="Times New Roman" w:hAnsi="Times New Roman" w:eastAsia="仿宋_GB2312" w:cs="Times New Roman"/>
                <w:color w:val="auto"/>
                <w:sz w:val="24"/>
                <w:szCs w:val="24"/>
                <w:highlight w:val="none"/>
                <w:lang w:val="en-US" w:eastAsia="zh-CN" w:bidi="ar"/>
              </w:rPr>
              <w:t>5</w:t>
            </w:r>
            <w:r>
              <w:rPr>
                <w:rFonts w:hint="default" w:ascii="Times New Roman" w:hAnsi="Times New Roman" w:eastAsia="仿宋_GB2312" w:cs="Times New Roman"/>
                <w:color w:val="auto"/>
                <w:sz w:val="24"/>
                <w:szCs w:val="24"/>
                <w:highlight w:val="none"/>
                <w:lang w:bidi="ar"/>
              </w:rPr>
              <w:t>、嵩县学前教育工程项目；</w:t>
            </w:r>
            <w:r>
              <w:rPr>
                <w:rFonts w:hint="default" w:ascii="Times New Roman" w:hAnsi="Times New Roman" w:eastAsia="仿宋_GB2312" w:cs="Times New Roman"/>
                <w:color w:val="auto"/>
                <w:sz w:val="24"/>
                <w:szCs w:val="24"/>
                <w:highlight w:val="none"/>
                <w:lang w:val="en-US" w:eastAsia="zh-CN" w:bidi="ar"/>
              </w:rPr>
              <w:t>6</w:t>
            </w:r>
            <w:r>
              <w:rPr>
                <w:rFonts w:hint="default" w:ascii="Times New Roman" w:hAnsi="Times New Roman" w:eastAsia="仿宋_GB2312" w:cs="Times New Roman"/>
                <w:color w:val="auto"/>
                <w:sz w:val="24"/>
                <w:szCs w:val="24"/>
                <w:highlight w:val="none"/>
                <w:lang w:bidi="ar"/>
              </w:rPr>
              <w:t>、嵩县托育机构建设项目；</w:t>
            </w:r>
            <w:r>
              <w:rPr>
                <w:rFonts w:hint="default" w:ascii="Times New Roman" w:hAnsi="Times New Roman" w:eastAsia="仿宋_GB2312" w:cs="Times New Roman"/>
                <w:color w:val="auto"/>
                <w:sz w:val="24"/>
                <w:szCs w:val="24"/>
                <w:highlight w:val="none"/>
                <w:lang w:val="en-US" w:eastAsia="zh-CN" w:bidi="ar"/>
              </w:rPr>
              <w:t>7</w:t>
            </w:r>
            <w:r>
              <w:rPr>
                <w:rFonts w:hint="default" w:ascii="Times New Roman" w:hAnsi="Times New Roman" w:eastAsia="仿宋_GB2312" w:cs="Times New Roman"/>
                <w:color w:val="auto"/>
                <w:sz w:val="24"/>
                <w:szCs w:val="24"/>
                <w:highlight w:val="none"/>
                <w:lang w:bidi="ar"/>
              </w:rPr>
              <w:t>、嵩县社会体育项目；</w:t>
            </w:r>
            <w:r>
              <w:rPr>
                <w:rFonts w:hint="default" w:ascii="Times New Roman" w:hAnsi="Times New Roman" w:eastAsia="仿宋_GB2312" w:cs="Times New Roman"/>
                <w:color w:val="auto"/>
                <w:sz w:val="24"/>
                <w:szCs w:val="24"/>
                <w:highlight w:val="none"/>
                <w:lang w:val="en-US" w:eastAsia="zh-CN" w:bidi="ar"/>
              </w:rPr>
              <w:t>8</w:t>
            </w:r>
            <w:r>
              <w:rPr>
                <w:rFonts w:hint="default" w:ascii="Times New Roman" w:hAnsi="Times New Roman" w:eastAsia="仿宋_GB2312" w:cs="Times New Roman"/>
                <w:color w:val="auto"/>
                <w:sz w:val="24"/>
                <w:szCs w:val="24"/>
                <w:highlight w:val="none"/>
                <w:lang w:bidi="ar"/>
              </w:rPr>
              <w:t>、嵩县家风教育基地建设项目</w:t>
            </w:r>
            <w:r>
              <w:rPr>
                <w:rFonts w:hint="default" w:ascii="Times New Roman" w:hAnsi="Times New Roman" w:eastAsia="仿宋_GB2312" w:cs="Times New Roman"/>
                <w:color w:val="auto"/>
                <w:sz w:val="24"/>
                <w:szCs w:val="24"/>
                <w:highlight w:val="none"/>
                <w:lang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b/>
                <w:bCs/>
                <w:color w:val="auto"/>
                <w:sz w:val="24"/>
                <w:szCs w:val="24"/>
                <w:highlight w:val="none"/>
                <w:lang w:bidi="ar"/>
              </w:rPr>
            </w:pPr>
            <w:r>
              <w:rPr>
                <w:rFonts w:hint="default" w:ascii="Times New Roman" w:hAnsi="Times New Roman" w:eastAsia="仿宋_GB2312" w:cs="Times New Roman"/>
                <w:b/>
                <w:bCs/>
                <w:color w:val="auto"/>
                <w:sz w:val="24"/>
                <w:szCs w:val="24"/>
                <w:highlight w:val="none"/>
                <w:lang w:eastAsia="zh-CN" w:bidi="ar"/>
              </w:rPr>
              <w:t>二、</w:t>
            </w:r>
            <w:r>
              <w:rPr>
                <w:rFonts w:hint="default" w:ascii="Times New Roman" w:hAnsi="Times New Roman" w:eastAsia="仿宋_GB2312" w:cs="Times New Roman"/>
                <w:b/>
                <w:bCs/>
                <w:color w:val="auto"/>
                <w:sz w:val="24"/>
                <w:szCs w:val="24"/>
                <w:highlight w:val="none"/>
                <w:lang w:bidi="ar"/>
              </w:rPr>
              <w:t>健康养老类：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洛阳嵩县城乡养老服务建设项目。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b/>
                <w:bCs/>
                <w:color w:val="auto"/>
                <w:sz w:val="24"/>
                <w:szCs w:val="24"/>
                <w:highlight w:val="none"/>
                <w:lang w:eastAsia="zh-CN" w:bidi="ar"/>
              </w:rPr>
              <w:t>三、</w:t>
            </w:r>
            <w:r>
              <w:rPr>
                <w:rFonts w:hint="default" w:ascii="Times New Roman" w:hAnsi="Times New Roman" w:eastAsia="仿宋_GB2312" w:cs="Times New Roman"/>
                <w:b/>
                <w:bCs/>
                <w:color w:val="auto"/>
                <w:sz w:val="24"/>
                <w:szCs w:val="24"/>
                <w:highlight w:val="none"/>
                <w:lang w:bidi="ar"/>
              </w:rPr>
              <w:t>就业类</w:t>
            </w:r>
            <w:r>
              <w:rPr>
                <w:rFonts w:hint="default" w:ascii="Times New Roman" w:hAnsi="Times New Roman" w:eastAsia="仿宋_GB2312" w:cs="Times New Roman"/>
                <w:color w:val="auto"/>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嵩县就业综合服务设施建设项目。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b/>
                <w:bCs/>
                <w:color w:val="auto"/>
                <w:sz w:val="24"/>
                <w:szCs w:val="24"/>
                <w:highlight w:val="none"/>
                <w:lang w:bidi="ar"/>
              </w:rPr>
            </w:pPr>
            <w:r>
              <w:rPr>
                <w:rFonts w:hint="default" w:ascii="Times New Roman" w:hAnsi="Times New Roman" w:eastAsia="仿宋_GB2312" w:cs="Times New Roman"/>
                <w:b/>
                <w:bCs/>
                <w:color w:val="auto"/>
                <w:sz w:val="24"/>
                <w:szCs w:val="24"/>
                <w:highlight w:val="none"/>
                <w:lang w:eastAsia="zh-CN" w:bidi="ar"/>
              </w:rPr>
              <w:t>四、</w:t>
            </w:r>
            <w:r>
              <w:rPr>
                <w:rFonts w:hint="default" w:ascii="Times New Roman" w:hAnsi="Times New Roman" w:eastAsia="仿宋_GB2312" w:cs="Times New Roman"/>
                <w:b/>
                <w:bCs/>
                <w:color w:val="auto"/>
                <w:sz w:val="24"/>
                <w:szCs w:val="24"/>
                <w:highlight w:val="none"/>
                <w:lang w:bidi="ar"/>
              </w:rPr>
              <w:t>卫生类：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color w:val="auto"/>
                <w:sz w:val="24"/>
                <w:szCs w:val="24"/>
                <w:highlight w:val="none"/>
                <w:lang w:eastAsia="zh-CN" w:bidi="ar"/>
              </w:rPr>
            </w:pPr>
            <w:r>
              <w:rPr>
                <w:rFonts w:hint="default" w:ascii="Times New Roman" w:hAnsi="Times New Roman" w:eastAsia="仿宋_GB2312" w:cs="Times New Roman"/>
                <w:color w:val="auto"/>
                <w:sz w:val="24"/>
                <w:szCs w:val="24"/>
                <w:highlight w:val="none"/>
                <w:lang w:bidi="ar"/>
              </w:rPr>
              <w:t>1、嵩县村级卫生室达标提升项目；2、嵩县中医院建设项目；3、嵩县县域智慧医疗卫生信息化中心项目；4、嵩县精神病医院建设项目；5、嵩县公共卫生服务能力提升项目</w:t>
            </w:r>
            <w:r>
              <w:rPr>
                <w:rFonts w:hint="default" w:ascii="Times New Roman" w:hAnsi="Times New Roman" w:eastAsia="仿宋_GB2312" w:cs="Times New Roman"/>
                <w:color w:val="auto"/>
                <w:sz w:val="24"/>
                <w:szCs w:val="24"/>
                <w:highlight w:val="none"/>
                <w:lang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b/>
                <w:bCs/>
                <w:color w:val="auto"/>
                <w:sz w:val="24"/>
                <w:szCs w:val="24"/>
                <w:highlight w:val="none"/>
                <w:lang w:bidi="ar"/>
              </w:rPr>
            </w:pPr>
            <w:r>
              <w:rPr>
                <w:rFonts w:hint="default" w:ascii="Times New Roman" w:hAnsi="Times New Roman" w:eastAsia="仿宋_GB2312" w:cs="Times New Roman"/>
                <w:b/>
                <w:bCs/>
                <w:color w:val="auto"/>
                <w:sz w:val="24"/>
                <w:szCs w:val="24"/>
                <w:highlight w:val="none"/>
                <w:lang w:eastAsia="zh-CN" w:bidi="ar"/>
              </w:rPr>
              <w:t>五</w:t>
            </w:r>
            <w:r>
              <w:rPr>
                <w:rFonts w:hint="default" w:ascii="Times New Roman" w:hAnsi="Times New Roman" w:eastAsia="仿宋_GB2312" w:cs="Times New Roman"/>
                <w:b/>
                <w:bCs/>
                <w:color w:val="auto"/>
                <w:sz w:val="24"/>
                <w:szCs w:val="24"/>
                <w:highlight w:val="none"/>
                <w:lang w:bidi="ar"/>
              </w:rPr>
              <w:t>、其它：</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24"/>
                <w:szCs w:val="24"/>
                <w:highlight w:val="none"/>
                <w:lang w:bidi="ar"/>
              </w:rPr>
              <w:t>嵩县公墓建设项目。</w:t>
            </w:r>
          </w:p>
        </w:tc>
      </w:tr>
    </w:tbl>
    <w:p>
      <w:pPr>
        <w:keepNext w:val="0"/>
        <w:keepLines w:val="0"/>
        <w:pageBreakBefore w:val="0"/>
        <w:widowControl/>
        <w:suppressLineNumbers w:val="0"/>
        <w:kinsoku/>
        <w:wordWrap/>
        <w:overflowPunct/>
        <w:topLinePunct w:val="0"/>
        <w:autoSpaceDE/>
        <w:autoSpaceDN/>
        <w:bidi w:val="0"/>
        <w:adjustRightInd/>
        <w:snapToGrid/>
        <w:ind w:firstLine="723" w:firstLineChars="200"/>
        <w:jc w:val="left"/>
        <w:textAlignment w:val="auto"/>
        <w:outlineLvl w:val="0"/>
        <w:rPr>
          <w:rFonts w:hint="default" w:ascii="Times New Roman" w:hAnsi="Times New Roman" w:eastAsia="黑体" w:cs="Times New Roman"/>
          <w:b/>
          <w:color w:val="auto"/>
          <w:kern w:val="0"/>
          <w:sz w:val="36"/>
          <w:szCs w:val="36"/>
          <w:lang w:val="en-US" w:eastAsia="zh-CN" w:bidi="ar"/>
        </w:rPr>
      </w:pPr>
      <w:bookmarkStart w:id="112" w:name="_Toc9112"/>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rPr>
      </w:pPr>
      <w:r>
        <w:rPr>
          <w:rFonts w:hint="default" w:ascii="Times New Roman" w:hAnsi="Times New Roman" w:eastAsia="黑体" w:cs="Times New Roman"/>
          <w:b/>
          <w:color w:val="auto"/>
          <w:kern w:val="0"/>
          <w:sz w:val="36"/>
          <w:szCs w:val="36"/>
          <w:lang w:val="en-US" w:eastAsia="zh-CN" w:bidi="ar"/>
        </w:rPr>
        <w:t>第十二篇 加强共建共治，构建平安社会新局面</w:t>
      </w:r>
      <w:bookmarkEnd w:id="112"/>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全面落实国家安全战略，统筹传统安全和非传统安全，牢牢把握坚持和完善共建共治共享的社会治理制度总要求，坚持以人民为中心，坚持“党建引领、</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四治</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并进、服务进村（社区）”，以防范化解县域社会治理中的重大风险为着力点，以增强人民群众获得感、幸福感、安全感为落脚点，加强安全体系和能力建设，防范和化解各种风险，打造新时代“枫桥经验”嵩县版，确保社会安定有序、人民安居乐业，建设更高水平的“平安嵩县”。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113" w:name="_Toc31991"/>
      <w:r>
        <w:rPr>
          <w:rFonts w:hint="default" w:ascii="Times New Roman" w:hAnsi="Times New Roman" w:eastAsia="黑体" w:cs="Times New Roman"/>
          <w:color w:val="auto"/>
          <w:kern w:val="0"/>
          <w:sz w:val="32"/>
          <w:szCs w:val="32"/>
          <w:lang w:val="en-US" w:eastAsia="zh-CN" w:bidi="ar"/>
        </w:rPr>
        <w:t>第一章 维护社会稳定</w:t>
      </w:r>
      <w:bookmarkEnd w:id="113"/>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坚持底线思维、预防为主，科学统筹、标本兼治，推动社会治理服务重心下移，完善社会矛盾常态化排查化解机制，有效防范化解各类风险挑战，保持社会和谐稳定。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114" w:name="_Toc1351"/>
      <w:r>
        <w:rPr>
          <w:rFonts w:hint="default" w:ascii="Times New Roman" w:hAnsi="Times New Roman" w:eastAsia="仿宋_GB2312" w:cs="Times New Roman"/>
          <w:b/>
          <w:color w:val="auto"/>
          <w:kern w:val="0"/>
          <w:sz w:val="32"/>
          <w:szCs w:val="32"/>
          <w:lang w:val="en-US" w:eastAsia="zh-CN" w:bidi="ar"/>
        </w:rPr>
        <w:t>第一节 推动社会治理服务重心下移</w:t>
      </w:r>
      <w:bookmarkEnd w:id="114"/>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牢固树立大抓基层基础导向，完善党组织领导的自治、法治、德治相结合的城乡基层治理体系，推行网格化、数字化、精细化管理和服务，推动社会治理和服务重心向基层下移、资源向基层下沉。探索“基层党建</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工作模式，建设以基层党组织为核心、群团组织为纽带、各类社会组织为依托的基层群众工作体系，最大限度组织动员基层群众参与社会治理。大力推进网格化服务管理标准化建设，健全网格员队伍。深化新时代“枫桥经验”，积极开展“平安村（社区）”“枫桥式政法单位”等创建活动；推进执法司法规范化建设，推动政法部门执法办案职能向社会治理领域延伸；深入推进公共法律服务实体、热线和网络平台建设，提升公共法律服务网络，推进一村（社区）一警（辅警）全覆盖；引导群众依法表达诉求、解决纠纷、维护权益；完善乡村综治中心建设，加快县综治信息平台建设，构架纵横贯通的县乡村三级社会治理现代化综合服务管理平台。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115" w:name="_Toc18365"/>
      <w:r>
        <w:rPr>
          <w:rFonts w:hint="default" w:ascii="Times New Roman" w:hAnsi="Times New Roman" w:eastAsia="仿宋_GB2312" w:cs="Times New Roman"/>
          <w:b/>
          <w:color w:val="auto"/>
          <w:kern w:val="0"/>
          <w:sz w:val="32"/>
          <w:szCs w:val="32"/>
          <w:lang w:val="en-US" w:eastAsia="zh-CN" w:bidi="ar"/>
        </w:rPr>
        <w:t>第二节 建设法治乡村</w:t>
      </w:r>
      <w:bookmarkEnd w:id="115"/>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组建覆盖综治工作、市场监管、综合执法、便民服务等多功能一体化基层服务平台，深化法治乡村建设，深入推进“一村（格）一警一村（居）一法律顾问”和村（居）“法律明白人”建设。</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前推出一批“品牌化”“特色化”法治文化阵地，建立乡镇、村（社区）“法律明白人”分级培养机制，每个行政村（社区）实现“法律明白人”全覆盖。创新完善激励机制，持续开展多层次、多领域的平安创建活动和“四级同创、三级示范”法治创建活动。</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116" w:name="_Toc25630"/>
      <w:r>
        <w:rPr>
          <w:rFonts w:hint="default" w:ascii="Times New Roman" w:hAnsi="Times New Roman" w:eastAsia="仿宋_GB2312" w:cs="Times New Roman"/>
          <w:b/>
          <w:color w:val="auto"/>
          <w:kern w:val="0"/>
          <w:sz w:val="32"/>
          <w:szCs w:val="32"/>
          <w:lang w:val="en-US" w:eastAsia="zh-CN" w:bidi="ar"/>
        </w:rPr>
        <w:t>第三节 完善社会矛盾纠纷预防化解机制</w:t>
      </w:r>
      <w:bookmarkEnd w:id="116"/>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加强专职人民调解员和行业性专业性人民调解组织建设，拓展党代表、人大代表、政协委员、律师和社会组织、乡贤等第三方参与途径，吸收专家学者参与解决技术领域纠纷，广泛培育“品牌调解室”“金牌调解员”，全面推进枫桥派出所建设，基本实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小事不出村、大事不出乡、矛盾不上交</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。完善重大决策社会稳定风险评估机制、社会矛盾排查预警机制。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117" w:name="_Toc16869"/>
      <w:r>
        <w:rPr>
          <w:rFonts w:hint="default" w:ascii="Times New Roman" w:hAnsi="Times New Roman" w:eastAsia="黑体" w:cs="Times New Roman"/>
          <w:color w:val="auto"/>
          <w:kern w:val="0"/>
          <w:sz w:val="32"/>
          <w:szCs w:val="32"/>
          <w:lang w:val="en-US" w:eastAsia="zh-CN" w:bidi="ar"/>
        </w:rPr>
        <w:t>第二章 打造立体化信息化社会治安防控体系</w:t>
      </w:r>
      <w:bookmarkEnd w:id="117"/>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打造立体化、信息化社会治安防控体系，深入开展对各类违法犯罪的打击整治，完善“雪亮工程”网络和运行机制，全面提升群众安全感和满意度。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118" w:name="_Toc13631"/>
      <w:r>
        <w:rPr>
          <w:rFonts w:hint="default" w:ascii="Times New Roman" w:hAnsi="Times New Roman" w:eastAsia="仿宋_GB2312" w:cs="Times New Roman"/>
          <w:b/>
          <w:color w:val="auto"/>
          <w:kern w:val="0"/>
          <w:sz w:val="32"/>
          <w:szCs w:val="32"/>
          <w:lang w:val="en-US" w:eastAsia="zh-CN" w:bidi="ar"/>
        </w:rPr>
        <w:t>第一节 构建社会治安防控新格局</w:t>
      </w:r>
      <w:bookmarkEnd w:id="118"/>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立足整体防控、协同防控、精准防控，健全问题联治、工作联动、平安联创的工作机制，打造点线面均衡布局、网上网下交汇融合、人防物防技防有机结合、打防管控一体化的社会治安防控新格局。始终保持对“黄赌毒”“盗抢骗”“食药环”等违法犯罪活动严打高压态势，聚焦影响群众安全感、影响社会和谐稳定、影响青少年健康成长、影响群众生命财产安全等突出问题，分级分类开展各类突出治安问题集中整治活动。</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年，努力实现每个乡镇建成两个中心警务室、每个行政村建立一个警务工作站、每个警务工作站配备一名辅警。加大城乡巡逻防控力量建设，争取县城区域达到</w:t>
      </w:r>
      <w:r>
        <w:rPr>
          <w:rFonts w:hint="default" w:ascii="Times New Roman" w:hAnsi="Times New Roman" w:eastAsia="宋体"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人，建制镇达到</w:t>
      </w:r>
      <w:r>
        <w:rPr>
          <w:rFonts w:hint="default" w:ascii="Times New Roman" w:hAnsi="Times New Roman" w:eastAsia="宋体" w:cs="Times New Roman"/>
          <w:color w:val="auto"/>
          <w:kern w:val="0"/>
          <w:sz w:val="32"/>
          <w:szCs w:val="32"/>
          <w:lang w:val="en-US" w:eastAsia="zh-CN" w:bidi="ar"/>
        </w:rPr>
        <w:t>20</w:t>
      </w:r>
      <w:r>
        <w:rPr>
          <w:rFonts w:hint="default" w:ascii="Times New Roman" w:hAnsi="Times New Roman" w:eastAsia="仿宋_GB2312" w:cs="Times New Roman"/>
          <w:color w:val="auto"/>
          <w:kern w:val="0"/>
          <w:sz w:val="32"/>
          <w:szCs w:val="32"/>
          <w:lang w:val="en-US" w:eastAsia="zh-CN" w:bidi="ar"/>
        </w:rPr>
        <w:t>人，建制乡达到</w:t>
      </w:r>
      <w:r>
        <w:rPr>
          <w:rFonts w:hint="default" w:ascii="Times New Roman" w:hAnsi="Times New Roman" w:eastAsia="宋体" w:cs="Times New Roman"/>
          <w:color w:val="auto"/>
          <w:kern w:val="0"/>
          <w:sz w:val="32"/>
          <w:szCs w:val="32"/>
          <w:lang w:val="en-US" w:eastAsia="zh-CN" w:bidi="ar"/>
        </w:rPr>
        <w:t>15</w:t>
      </w:r>
      <w:r>
        <w:rPr>
          <w:rFonts w:hint="default" w:ascii="Times New Roman" w:hAnsi="Times New Roman" w:eastAsia="仿宋_GB2312" w:cs="Times New Roman"/>
          <w:color w:val="auto"/>
          <w:kern w:val="0"/>
          <w:sz w:val="32"/>
          <w:szCs w:val="32"/>
          <w:lang w:val="en-US" w:eastAsia="zh-CN" w:bidi="ar"/>
        </w:rPr>
        <w:t>人。利用五年时间，消除所有“三无小区”，按照上级要求，高标准建设智慧小区。</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119" w:name="_Toc1231"/>
      <w:r>
        <w:rPr>
          <w:rFonts w:hint="default" w:ascii="Times New Roman" w:hAnsi="Times New Roman" w:eastAsia="仿宋_GB2312" w:cs="Times New Roman"/>
          <w:b/>
          <w:color w:val="auto"/>
          <w:kern w:val="0"/>
          <w:sz w:val="32"/>
          <w:szCs w:val="32"/>
          <w:lang w:val="en-US" w:eastAsia="zh-CN" w:bidi="ar"/>
        </w:rPr>
        <w:t>第二节 完善</w:t>
      </w:r>
      <w:r>
        <w:rPr>
          <w:rFonts w:hint="default" w:ascii="Times New Roman" w:hAnsi="Times New Roman" w:eastAsia="宋体" w:cs="Times New Roman"/>
          <w:b/>
          <w:color w:val="auto"/>
          <w:kern w:val="0"/>
          <w:sz w:val="32"/>
          <w:szCs w:val="32"/>
          <w:lang w:val="en-US" w:eastAsia="zh-CN" w:bidi="ar"/>
        </w:rPr>
        <w:t>“</w:t>
      </w:r>
      <w:r>
        <w:rPr>
          <w:rFonts w:hint="default" w:ascii="Times New Roman" w:hAnsi="Times New Roman" w:eastAsia="仿宋_GB2312" w:cs="Times New Roman"/>
          <w:b/>
          <w:color w:val="auto"/>
          <w:kern w:val="0"/>
          <w:sz w:val="32"/>
          <w:szCs w:val="32"/>
          <w:lang w:val="en-US" w:eastAsia="zh-CN" w:bidi="ar"/>
        </w:rPr>
        <w:t>雪亮工程</w:t>
      </w:r>
      <w:r>
        <w:rPr>
          <w:rFonts w:hint="default" w:ascii="Times New Roman" w:hAnsi="Times New Roman" w:eastAsia="宋体" w:cs="Times New Roman"/>
          <w:b/>
          <w:color w:val="auto"/>
          <w:kern w:val="0"/>
          <w:sz w:val="32"/>
          <w:szCs w:val="32"/>
          <w:lang w:val="en-US" w:eastAsia="zh-CN" w:bidi="ar"/>
        </w:rPr>
        <w:t>”</w:t>
      </w:r>
      <w:bookmarkEnd w:id="119"/>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完善“雪亮工程”网络和运行机制，</w:t>
      </w:r>
      <w:r>
        <w:rPr>
          <w:rFonts w:hint="default" w:ascii="Times New Roman" w:hAnsi="Times New Roman" w:eastAsia="宋体"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年，基本实现全县各村</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雪亮工程</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与综治“</w:t>
      </w:r>
      <w:r>
        <w:rPr>
          <w:rFonts w:hint="default" w:ascii="Times New Roman" w:hAnsi="Times New Roman" w:eastAsia="宋体" w:cs="Times New Roman"/>
          <w:color w:val="auto"/>
          <w:kern w:val="0"/>
          <w:sz w:val="32"/>
          <w:szCs w:val="32"/>
          <w:lang w:val="en-US" w:eastAsia="zh-CN" w:bidi="ar"/>
        </w:rPr>
        <w:t>9+X</w:t>
      </w:r>
      <w:r>
        <w:rPr>
          <w:rFonts w:hint="default" w:ascii="Times New Roman" w:hAnsi="Times New Roman" w:eastAsia="仿宋_GB2312" w:cs="Times New Roman"/>
          <w:color w:val="auto"/>
          <w:kern w:val="0"/>
          <w:sz w:val="32"/>
          <w:szCs w:val="32"/>
          <w:lang w:val="en-US" w:eastAsia="zh-CN" w:bidi="ar"/>
        </w:rPr>
        <w:t>”信息平台互联互通。实现全域覆盖、全网共享、全时可用、全程可控。实施</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心防工程</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，完善心理健康服务网络，加强对特殊人群服务管理和心理疏导。加强强制隔离戒毒、社区矫正等场所和信息化建设。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1"/>
        <w:rPr>
          <w:rFonts w:hint="default" w:ascii="Times New Roman" w:hAnsi="Times New Roman" w:cs="Times New Roman"/>
          <w:color w:val="auto"/>
          <w:sz w:val="32"/>
          <w:szCs w:val="32"/>
        </w:rPr>
      </w:pPr>
      <w:bookmarkStart w:id="120" w:name="_Toc27185"/>
      <w:r>
        <w:rPr>
          <w:rFonts w:hint="default" w:ascii="Times New Roman" w:hAnsi="Times New Roman" w:eastAsia="黑体" w:cs="Times New Roman"/>
          <w:color w:val="auto"/>
          <w:kern w:val="0"/>
          <w:sz w:val="32"/>
          <w:szCs w:val="32"/>
          <w:lang w:val="en-US" w:eastAsia="zh-CN" w:bidi="ar"/>
        </w:rPr>
        <w:t>第三章 筑牢安全发展底板</w:t>
      </w:r>
      <w:bookmarkEnd w:id="120"/>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牢固树立底线思维，增强忧患意识，统筹发展和安全，建立安全防范体系，深化应急管理体制改革，强化安全发展保障网络功能，建设平安嵩县。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121" w:name="_Toc2823"/>
      <w:r>
        <w:rPr>
          <w:rFonts w:hint="default" w:ascii="Times New Roman" w:hAnsi="Times New Roman" w:eastAsia="仿宋_GB2312" w:cs="Times New Roman"/>
          <w:b/>
          <w:color w:val="auto"/>
          <w:kern w:val="0"/>
          <w:sz w:val="32"/>
          <w:szCs w:val="32"/>
          <w:lang w:val="en-US" w:eastAsia="zh-CN" w:bidi="ar"/>
        </w:rPr>
        <w:t>第一节 建立安全防范体系</w:t>
      </w:r>
      <w:bookmarkEnd w:id="121"/>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全面贯彻落实总体国家安全观，统筹发展与安全，建立健全经济社会重大风险研判、防控协同、防范化解机制，提高防范化解金融、网络、生物、宗教等重点领域风险的能力。建立公共安全隐患排查和安全预防控制体系，实施食品安全战略，提高食品安全风险管理能力；加强和改进药品、农产品质量安全监管和检验检测。健全维护国家政治安全工作体系。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0" w:firstLineChars="0"/>
        <w:jc w:val="center"/>
        <w:textAlignment w:val="auto"/>
        <w:outlineLvl w:val="2"/>
        <w:rPr>
          <w:rFonts w:hint="default" w:ascii="Times New Roman" w:hAnsi="Times New Roman" w:cs="Times New Roman"/>
          <w:color w:val="auto"/>
          <w:sz w:val="32"/>
          <w:szCs w:val="32"/>
        </w:rPr>
      </w:pPr>
      <w:bookmarkStart w:id="122" w:name="_Toc3588"/>
      <w:r>
        <w:rPr>
          <w:rFonts w:hint="default" w:ascii="Times New Roman" w:hAnsi="Times New Roman" w:eastAsia="仿宋_GB2312" w:cs="Times New Roman"/>
          <w:b/>
          <w:color w:val="auto"/>
          <w:kern w:val="0"/>
          <w:sz w:val="32"/>
          <w:szCs w:val="32"/>
          <w:lang w:val="en-US" w:eastAsia="zh-CN" w:bidi="ar"/>
        </w:rPr>
        <w:t>第二节 深化应急管理体制改革</w:t>
      </w:r>
      <w:bookmarkEnd w:id="122"/>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健全应急管理体系，推进安全生产风险隐患双重预防体系建设，提升应急管理智能化水平。推进防灾、备灾、减灾、救灾体系和能力建设，开展全县灾害风险普查，完善人防疏散基地和地下防护工程功能，建设各类预警监测系统，规划建设应急指挥中心和应急物资储备中心，储备应急救援物资，扩大应急救援基地规模，强化应急队伍建设，组建地质灾害专职应急救援队伍。深入实施军民融合发展战略，加强国家安全人民防线建设，增强全民国家安全意识。</w:t>
      </w:r>
    </w:p>
    <w:p>
      <w:pPr>
        <w:rPr>
          <w:rFonts w:hint="default" w:ascii="Times New Roman" w:hAnsi="Times New Roman" w:cs="Times New Roman"/>
          <w:color w:val="auto"/>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22" w:type="dxa"/>
            <w:noWrap w:val="0"/>
            <w:vAlign w:val="top"/>
          </w:tcPr>
          <w:p>
            <w:pPr>
              <w:pStyle w:val="2"/>
              <w:pageBreakBefore w:val="0"/>
              <w:kinsoku/>
              <w:wordWrap/>
              <w:bidi w:val="0"/>
              <w:spacing w:beforeAutospacing="0" w:afterAutospacing="0" w:line="580" w:lineRule="exact"/>
              <w:ind w:left="0"/>
              <w:jc w:val="center"/>
              <w:rPr>
                <w:rFonts w:hint="default" w:ascii="Times New Roman" w:hAnsi="Times New Roman" w:eastAsia="仿宋" w:cs="Times New Roman"/>
                <w:color w:val="auto"/>
                <w:sz w:val="28"/>
                <w:szCs w:val="28"/>
                <w:highlight w:val="none"/>
                <w:lang w:val="en-US" w:bidi="ar-SA"/>
              </w:rPr>
            </w:pPr>
            <w:r>
              <w:rPr>
                <w:rFonts w:hint="default" w:ascii="Times New Roman" w:hAnsi="Times New Roman" w:eastAsia="方正黑体简体" w:cs="Times New Roman"/>
                <w:b w:val="0"/>
                <w:bCs w:val="0"/>
                <w:color w:val="auto"/>
                <w:sz w:val="28"/>
                <w:szCs w:val="28"/>
                <w:highlight w:val="none"/>
                <w:lang w:val="en-US" w:bidi="ar-SA"/>
              </w:rPr>
              <w:t>专栏</w:t>
            </w:r>
            <w:r>
              <w:rPr>
                <w:rFonts w:hint="default" w:ascii="Times New Roman" w:hAnsi="Times New Roman" w:eastAsia="方正黑体简体" w:cs="Times New Roman"/>
                <w:b w:val="0"/>
                <w:bCs w:val="0"/>
                <w:color w:val="auto"/>
                <w:sz w:val="28"/>
                <w:szCs w:val="28"/>
                <w:highlight w:val="none"/>
                <w:lang w:val="en-US" w:eastAsia="zh-CN" w:bidi="ar-SA"/>
              </w:rPr>
              <w:t>16</w:t>
            </w:r>
            <w:r>
              <w:rPr>
                <w:rFonts w:hint="default" w:ascii="Times New Roman" w:hAnsi="Times New Roman" w:eastAsia="方正黑体简体" w:cs="Times New Roman"/>
                <w:b w:val="0"/>
                <w:bCs w:val="0"/>
                <w:color w:val="auto"/>
                <w:sz w:val="28"/>
                <w:szCs w:val="28"/>
                <w:highlight w:val="none"/>
                <w:lang w:val="en-US" w:bidi="ar-SA"/>
              </w:rPr>
              <w:t>：</w:t>
            </w:r>
            <w:r>
              <w:rPr>
                <w:rFonts w:hint="default" w:ascii="Times New Roman" w:hAnsi="Times New Roman" w:eastAsia="方正黑体简体" w:cs="Times New Roman"/>
                <w:b w:val="0"/>
                <w:bCs w:val="0"/>
                <w:color w:val="auto"/>
                <w:sz w:val="28"/>
                <w:szCs w:val="28"/>
                <w:highlight w:val="none"/>
                <w:lang w:val="en-US" w:eastAsia="zh-CN" w:bidi="ar-SA"/>
              </w:rPr>
              <w:t>“</w:t>
            </w:r>
            <w:r>
              <w:rPr>
                <w:rFonts w:hint="default" w:ascii="Times New Roman" w:hAnsi="Times New Roman" w:eastAsia="方正黑体简体" w:cs="Times New Roman"/>
                <w:b w:val="0"/>
                <w:bCs w:val="0"/>
                <w:color w:val="auto"/>
                <w:sz w:val="28"/>
                <w:szCs w:val="28"/>
                <w:highlight w:val="none"/>
                <w:lang w:val="en-US" w:bidi="ar-SA"/>
              </w:rPr>
              <w:t>十四五”重大治安防控项目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spacing w:beforeAutospacing="0" w:afterAutospacing="0" w:line="440" w:lineRule="exact"/>
              <w:ind w:left="0"/>
              <w:textAlignment w:val="auto"/>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4"/>
                <w:szCs w:val="24"/>
                <w:highlight w:val="none"/>
              </w:rPr>
              <w:t>1、县乡村三级综治</w:t>
            </w:r>
            <w:r>
              <w:rPr>
                <w:rFonts w:hint="default" w:ascii="Times New Roman" w:hAnsi="Times New Roman"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9+X”信息平台建设项目；2、持续提升</w:t>
            </w:r>
            <w:r>
              <w:rPr>
                <w:rFonts w:hint="default" w:ascii="Times New Roman" w:hAnsi="Times New Roman"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雪亮工程”</w:t>
            </w:r>
            <w:r>
              <w:rPr>
                <w:rFonts w:hint="default" w:ascii="Times New Roman" w:hAnsi="Times New Roman"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lang w:val="en-US" w:eastAsia="zh-CN"/>
              </w:rPr>
              <w:t>3、应急救援基地建设；4、应急指挥中心和应急物资储备中心建设。</w:t>
            </w:r>
          </w:p>
        </w:tc>
      </w:tr>
    </w:tbl>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cs="Times New Roman"/>
          <w:color w:val="auto"/>
        </w:rPr>
      </w:pPr>
      <w:bookmarkStart w:id="123" w:name="_Toc7380"/>
      <w:r>
        <w:rPr>
          <w:rFonts w:hint="default" w:ascii="Times New Roman" w:hAnsi="Times New Roman" w:eastAsia="黑体" w:cs="Times New Roman"/>
          <w:b/>
          <w:color w:val="auto"/>
          <w:kern w:val="0"/>
          <w:sz w:val="36"/>
          <w:szCs w:val="36"/>
          <w:lang w:val="en-US" w:eastAsia="zh-CN" w:bidi="ar"/>
        </w:rPr>
        <w:t>第十三篇 实施保障</w:t>
      </w:r>
      <w:bookmarkEnd w:id="123"/>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实现</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十四五</w:t>
      </w:r>
      <w:r>
        <w:rPr>
          <w:rFonts w:hint="default" w:ascii="Times New Roman" w:hAnsi="Times New Roman" w:eastAsia="宋体"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规划，必须坚持党的全面领导，充分调动一切积极因素，广泛团结一切可以团结的力量，形成推动发展的强大合力，确保各项目标任务顺利实施。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124" w:name="_Toc14439"/>
      <w:r>
        <w:rPr>
          <w:rFonts w:hint="default" w:ascii="Times New Roman" w:hAnsi="Times New Roman" w:eastAsia="黑体" w:cs="Times New Roman"/>
          <w:b w:val="0"/>
          <w:bCs/>
          <w:color w:val="auto"/>
          <w:kern w:val="0"/>
          <w:sz w:val="32"/>
          <w:szCs w:val="32"/>
          <w:lang w:val="en-US" w:eastAsia="zh-CN" w:bidi="ar"/>
        </w:rPr>
        <w:t>第一章 加强党的领导</w:t>
      </w:r>
      <w:bookmarkEnd w:id="124"/>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坚决维护党中央权威和集中统一领导，增强“四个意识”、坚定“四个自信”、做到“两个维护”。把党的领导贯彻落实到规划实施各领域全过程，充分发挥党总揽全局、协调各方的领导核心作用，调动一切积极因素，团结一切社会力量，形成推动规划落实的强大合力。充分发挥基层党组织的战斗堡垒作用和党员的先锋模范作用，增强基层党组织政治功能和组织力。全面落实新时期好干部标准，建立健全干部担当作为的激励和保护机制。加强党风廉政建设和反腐败斗争，落实党风廉政建设主体责任和监督责任。</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eastAsia="黑体" w:cs="Times New Roman"/>
          <w:b w:val="0"/>
          <w:bCs/>
          <w:color w:val="auto"/>
          <w:kern w:val="0"/>
          <w:sz w:val="32"/>
          <w:szCs w:val="32"/>
          <w:lang w:val="en-US" w:eastAsia="zh-CN" w:bidi="ar"/>
        </w:rPr>
      </w:pPr>
      <w:bookmarkStart w:id="125" w:name="_Toc30352"/>
      <w:r>
        <w:rPr>
          <w:rFonts w:hint="default" w:ascii="Times New Roman" w:hAnsi="Times New Roman" w:eastAsia="黑体" w:cs="Times New Roman"/>
          <w:b w:val="0"/>
          <w:bCs/>
          <w:color w:val="auto"/>
          <w:kern w:val="0"/>
          <w:sz w:val="32"/>
          <w:szCs w:val="32"/>
          <w:lang w:val="en-US" w:eastAsia="zh-CN" w:bidi="ar"/>
        </w:rPr>
        <w:t>第二章 健全规划体系</w:t>
      </w:r>
      <w:bookmarkEnd w:id="125"/>
      <w:r>
        <w:rPr>
          <w:rFonts w:hint="default" w:ascii="Times New Roman" w:hAnsi="Times New Roman" w:eastAsia="黑体" w:cs="Times New Roman"/>
          <w:b w:val="0"/>
          <w:bCs/>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加强衔接协调，推动与重大规划的衔接，各专项规划、年度计划的制定要细化落实规划提出的目标任务，形成规划合力。加强对规划实施的组织、协调和督导，完善规划考评体系，开展规划实施情况动态监测和评估工作，把监测评估结果作为改进政府工作和绩效考核的重要依据。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cs="Times New Roman"/>
          <w:color w:val="auto"/>
          <w:sz w:val="32"/>
          <w:szCs w:val="32"/>
        </w:rPr>
      </w:pPr>
      <w:bookmarkStart w:id="126" w:name="_Toc12522"/>
      <w:r>
        <w:rPr>
          <w:rFonts w:hint="default" w:ascii="Times New Roman" w:hAnsi="Times New Roman" w:eastAsia="黑体" w:cs="Times New Roman"/>
          <w:b w:val="0"/>
          <w:bCs/>
          <w:color w:val="auto"/>
          <w:kern w:val="0"/>
          <w:sz w:val="32"/>
          <w:szCs w:val="32"/>
          <w:lang w:val="en-US" w:eastAsia="zh-CN" w:bidi="ar"/>
        </w:rPr>
        <w:t>第三章 强化规划实施支撑</w:t>
      </w:r>
      <w:bookmarkEnd w:id="126"/>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强化财政预算与规划实施的衔接协调，优化财政支出结构和政府投资结构。坚持以规划定项目、以项目落实规划，持续简化审批手续，优先保障规划选址、土地供应和融资安排，确保如期完成。围绕规划确立的主要目标和战略任务，在基础设施、先进制造业、战略性新兴产业、文化旅游、生态环保、社会民生等领域组织建设一批重大工程项目，通过谋划一批、开工一批、在建一批、投产一批，努力形成梯次发展的良好态势。强化项目建设责任，列出责任清单，明确完成时限，逐级传导压力。完善项目督查检查机制，建立健全定期调度、专项督查和跟踪问效制度，及时发现问题，及时督促整改。完善项目考核评价机制，进一步改进项目工作考核办法，奖勤罚懒、奖优惩劣，营造项目建设比学赶超的浓厚氛围。</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outlineLvl w:val="1"/>
        <w:rPr>
          <w:rFonts w:hint="default" w:ascii="Times New Roman" w:hAnsi="Times New Roman" w:eastAsia="黑体" w:cs="Times New Roman"/>
          <w:b w:val="0"/>
          <w:bCs/>
          <w:color w:val="auto"/>
          <w:kern w:val="0"/>
          <w:sz w:val="32"/>
          <w:szCs w:val="32"/>
          <w:lang w:val="en-US" w:eastAsia="zh-CN" w:bidi="ar"/>
        </w:rPr>
      </w:pPr>
      <w:bookmarkStart w:id="127" w:name="_Toc21867"/>
      <w:r>
        <w:rPr>
          <w:rFonts w:hint="default" w:ascii="Times New Roman" w:hAnsi="Times New Roman" w:eastAsia="黑体" w:cs="Times New Roman"/>
          <w:b w:val="0"/>
          <w:bCs/>
          <w:color w:val="auto"/>
          <w:kern w:val="0"/>
          <w:sz w:val="32"/>
          <w:szCs w:val="32"/>
          <w:lang w:val="en-US" w:eastAsia="zh-CN" w:bidi="ar"/>
        </w:rPr>
        <w:t>第四章 动员全社会共同参与</w:t>
      </w:r>
      <w:bookmarkEnd w:id="127"/>
      <w:r>
        <w:rPr>
          <w:rFonts w:hint="default" w:ascii="Times New Roman" w:hAnsi="Times New Roman" w:eastAsia="黑体" w:cs="Times New Roman"/>
          <w:b w:val="0"/>
          <w:bCs/>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创新宣传渠道和形式，及时公布规划实施相关信息。充分利用电视、报纸、微信、微博等各类媒介，设置专栏，加强规划宣传和展示，增进市场主体、民众、社会组织对规划主要目标、战略重点、主要任务和重大举措的认知。提高规划实施的民主化和透明度，及时向社会发布规划实施进展情况，激发社会各界人士参与嵩县发展建设的积极性。尊重基层首创精神，形成全县人民群策群力、共建共享的生动局面。 </w:t>
      </w:r>
    </w:p>
    <w:sectPr>
      <w:footerReference r:id="rId9" w:type="default"/>
      <w:footerReference r:id="rId10" w:type="even"/>
      <w:pgSz w:w="11906" w:h="16838"/>
      <w:pgMar w:top="1984" w:right="1531" w:bottom="1701"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rPr>
        <w:rFonts w:hint="eastAsia" w:ascii="宋体" w:hAnsi="宋体" w:eastAsia="宋体" w:cs="宋体"/>
        <w:sz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宋体" w:hAnsi="宋体" w:eastAsia="宋体" w:cs="宋体"/>
        <w:sz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rPr>
        <w:rFonts w:hint="eastAsia" w:ascii="宋体" w:hAnsi="宋体" w:eastAsia="宋体" w:cs="宋体"/>
        <w:sz w:val="2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宋体" w:hAnsi="宋体" w:eastAsia="宋体" w:cs="宋体"/>
        <w:sz w:val="28"/>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0FE58"/>
    <w:multiLevelType w:val="singleLevel"/>
    <w:tmpl w:val="8AB0FE58"/>
    <w:lvl w:ilvl="0" w:tentative="0">
      <w:start w:val="3"/>
      <w:numFmt w:val="chineseCounting"/>
      <w:suff w:val="space"/>
      <w:lvlText w:val="第%1节"/>
      <w:lvlJc w:val="left"/>
      <w:rPr>
        <w:rFonts w:hint="eastAsia"/>
      </w:rPr>
    </w:lvl>
  </w:abstractNum>
  <w:abstractNum w:abstractNumId="1">
    <w:nsid w:val="B51DAFAD"/>
    <w:multiLevelType w:val="singleLevel"/>
    <w:tmpl w:val="B51DAFAD"/>
    <w:lvl w:ilvl="0" w:tentative="0">
      <w:start w:val="1"/>
      <w:numFmt w:val="chineseCounting"/>
      <w:suff w:val="space"/>
      <w:lvlText w:val="第%1节"/>
      <w:lvlJc w:val="left"/>
      <w:rPr>
        <w:rFonts w:hint="eastAsia"/>
      </w:rPr>
    </w:lvl>
  </w:abstractNum>
  <w:abstractNum w:abstractNumId="2">
    <w:nsid w:val="B9FC2E73"/>
    <w:multiLevelType w:val="singleLevel"/>
    <w:tmpl w:val="B9FC2E73"/>
    <w:lvl w:ilvl="0" w:tentative="0">
      <w:start w:val="2"/>
      <w:numFmt w:val="chineseCounting"/>
      <w:suff w:val="space"/>
      <w:lvlText w:val="第%1章"/>
      <w:lvlJc w:val="left"/>
      <w:rPr>
        <w:rFonts w:hint="eastAsia"/>
      </w:rPr>
    </w:lvl>
  </w:abstractNum>
  <w:abstractNum w:abstractNumId="3">
    <w:nsid w:val="EFC42B3A"/>
    <w:multiLevelType w:val="singleLevel"/>
    <w:tmpl w:val="EFC42B3A"/>
    <w:lvl w:ilvl="0" w:tentative="0">
      <w:start w:val="1"/>
      <w:numFmt w:val="decimal"/>
      <w:suff w:val="nothing"/>
      <w:lvlText w:val="%1、"/>
      <w:lvlJc w:val="left"/>
    </w:lvl>
  </w:abstractNum>
  <w:abstractNum w:abstractNumId="4">
    <w:nsid w:val="F7B3CF24"/>
    <w:multiLevelType w:val="singleLevel"/>
    <w:tmpl w:val="F7B3CF24"/>
    <w:lvl w:ilvl="0" w:tentative="0">
      <w:start w:val="1"/>
      <w:numFmt w:val="decimal"/>
      <w:suff w:val="nothing"/>
      <w:lvlText w:val="%1、"/>
      <w:lvlJc w:val="left"/>
    </w:lvl>
  </w:abstractNum>
  <w:abstractNum w:abstractNumId="5">
    <w:nsid w:val="FA985C28"/>
    <w:multiLevelType w:val="singleLevel"/>
    <w:tmpl w:val="FA985C28"/>
    <w:lvl w:ilvl="0" w:tentative="0">
      <w:start w:val="1"/>
      <w:numFmt w:val="chineseCounting"/>
      <w:suff w:val="nothing"/>
      <w:lvlText w:val="%1、"/>
      <w:lvlJc w:val="left"/>
      <w:rPr>
        <w:rFonts w:hint="eastAsia"/>
      </w:rPr>
    </w:lvl>
  </w:abstractNum>
  <w:abstractNum w:abstractNumId="6">
    <w:nsid w:val="FB59E7D6"/>
    <w:multiLevelType w:val="singleLevel"/>
    <w:tmpl w:val="FB59E7D6"/>
    <w:lvl w:ilvl="0" w:tentative="0">
      <w:start w:val="1"/>
      <w:numFmt w:val="chineseCounting"/>
      <w:suff w:val="nothing"/>
      <w:lvlText w:val="%1、"/>
      <w:lvlJc w:val="left"/>
      <w:rPr>
        <w:rFonts w:hint="eastAsia"/>
      </w:rPr>
    </w:lvl>
  </w:abstractNum>
  <w:abstractNum w:abstractNumId="7">
    <w:nsid w:val="0464EE4A"/>
    <w:multiLevelType w:val="singleLevel"/>
    <w:tmpl w:val="0464EE4A"/>
    <w:lvl w:ilvl="0" w:tentative="0">
      <w:start w:val="1"/>
      <w:numFmt w:val="chineseCounting"/>
      <w:suff w:val="space"/>
      <w:lvlText w:val="第%1节"/>
      <w:lvlJc w:val="left"/>
      <w:rPr>
        <w:rFonts w:hint="eastAsia"/>
      </w:rPr>
    </w:lvl>
  </w:abstractNum>
  <w:abstractNum w:abstractNumId="8">
    <w:nsid w:val="6479EFEA"/>
    <w:multiLevelType w:val="singleLevel"/>
    <w:tmpl w:val="6479EFEA"/>
    <w:lvl w:ilvl="0" w:tentative="0">
      <w:start w:val="1"/>
      <w:numFmt w:val="chineseCounting"/>
      <w:suff w:val="nothing"/>
      <w:lvlText w:val="%1、"/>
      <w:lvlJc w:val="left"/>
      <w:rPr>
        <w:rFonts w:hint="eastAsia"/>
      </w:rPr>
    </w:lvl>
  </w:abstractNum>
  <w:num w:numId="1">
    <w:abstractNumId w:val="5"/>
  </w:num>
  <w:num w:numId="2">
    <w:abstractNumId w:val="8"/>
  </w:num>
  <w:num w:numId="3">
    <w:abstractNumId w:val="0"/>
  </w:num>
  <w:num w:numId="4">
    <w:abstractNumId w:val="4"/>
  </w:num>
  <w:num w:numId="5">
    <w:abstractNumId w:val="1"/>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97220"/>
    <w:rsid w:val="0C28621C"/>
    <w:rsid w:val="12F429B5"/>
    <w:rsid w:val="13067E13"/>
    <w:rsid w:val="14113C86"/>
    <w:rsid w:val="15064E27"/>
    <w:rsid w:val="169C3460"/>
    <w:rsid w:val="18066749"/>
    <w:rsid w:val="205A4792"/>
    <w:rsid w:val="26B00368"/>
    <w:rsid w:val="2DDB1E44"/>
    <w:rsid w:val="2ECC46FF"/>
    <w:rsid w:val="313C72F0"/>
    <w:rsid w:val="372B620A"/>
    <w:rsid w:val="3D0234FC"/>
    <w:rsid w:val="3EE03C48"/>
    <w:rsid w:val="40D620BA"/>
    <w:rsid w:val="439001E3"/>
    <w:rsid w:val="48AB5150"/>
    <w:rsid w:val="50B57815"/>
    <w:rsid w:val="55124AEB"/>
    <w:rsid w:val="559D2A3F"/>
    <w:rsid w:val="595A1C48"/>
    <w:rsid w:val="5BB67DB4"/>
    <w:rsid w:val="5F140457"/>
    <w:rsid w:val="5FF51DA9"/>
    <w:rsid w:val="612A25C1"/>
    <w:rsid w:val="670728D4"/>
    <w:rsid w:val="6A197220"/>
    <w:rsid w:val="6ED4759A"/>
    <w:rsid w:val="708D3238"/>
    <w:rsid w:val="710066AB"/>
    <w:rsid w:val="72913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30"/>
      <w:szCs w:val="30"/>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 w:type="paragraph" w:customStyle="1" w:styleId="10">
    <w:name w:val="WPSOffice手动目录 3"/>
    <w:qFormat/>
    <w:uiPriority w:val="0"/>
    <w:pPr>
      <w:ind w:leftChars="400"/>
    </w:pPr>
    <w:rPr>
      <w:rFonts w:ascii="Times New Roman" w:hAnsi="Times New Roman" w:eastAsia="宋体" w:cs="Times New Roman"/>
      <w:sz w:val="20"/>
      <w:szCs w:val="20"/>
    </w:rPr>
  </w:style>
  <w:style w:type="paragraph" w:customStyle="1" w:styleId="11">
    <w:name w:val="样式 正文001 + 首行缩进:  2 字符1"/>
    <w:basedOn w:val="1"/>
    <w:qFormat/>
    <w:uiPriority w:val="99"/>
    <w:pPr>
      <w:spacing w:before="60" w:after="100" w:afterAutospacing="1" w:line="460" w:lineRule="exact"/>
      <w:ind w:firstLine="480" w:firstLineChars="200"/>
    </w:pPr>
    <w:rPr>
      <w:rFonts w:ascii="宋体" w:hAnsi="宋体"/>
      <w:sz w:val="24"/>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2021-02-02T01:08:00Z</dcterms:created>
  <dc:creator>Administrator</dc:creator>
  <cp:lastModifiedBy>Administrator</cp:lastModifiedBy>
  <cp:lastPrinted>2021-07-17T01:31:00Z</cp:lastPrinted>
  <dcterms:modified xsi:type="dcterms:W3CDTF">2021-07-24T06:07:28Z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34F7D271A0E64062B9C9EE1EF727A7BE</vt:lpwstr>
  </property>
</Properties>
</file>